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F" w:rsidRDefault="00857B14" w:rsidP="00857B1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</w:t>
      </w: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</w:t>
      </w: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нодарского края</w:t>
      </w: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57B14" w:rsidRPr="00857B14" w:rsidRDefault="00857B14" w:rsidP="00857B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План работы</w:t>
      </w:r>
    </w:p>
    <w:p w:rsidR="00857B14" w:rsidRPr="00857B14" w:rsidRDefault="00857B14" w:rsidP="00857B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краевой инновационной площадки (КИП-2016)</w:t>
      </w:r>
    </w:p>
    <w:p w:rsidR="00857B14" w:rsidRPr="00857B14" w:rsidRDefault="00857B14" w:rsidP="00857B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8</w:t>
      </w:r>
      <w:r w:rsidRPr="00857B1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57B14" w:rsidRDefault="00857B14" w:rsidP="00857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муниципального образования </w:t>
      </w:r>
    </w:p>
    <w:p w:rsidR="00857B14" w:rsidRPr="009026E6" w:rsidRDefault="00857B14" w:rsidP="00857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Динской район  «Средняя общеобразовательная школа №1</w:t>
      </w:r>
    </w:p>
    <w:p w:rsidR="00857B14" w:rsidRPr="009026E6" w:rsidRDefault="00857B14" w:rsidP="00857B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имени Героя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6E6">
        <w:rPr>
          <w:rFonts w:ascii="Times New Roman" w:hAnsi="Times New Roman" w:cs="Times New Roman"/>
          <w:sz w:val="24"/>
          <w:szCs w:val="24"/>
        </w:rPr>
        <w:t>Туркина Андрея Алексеевича»</w:t>
      </w:r>
    </w:p>
    <w:p w:rsidR="00857B14" w:rsidRDefault="00857B14" w:rsidP="00857B1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857B14" w:rsidRDefault="00857B14" w:rsidP="00857B1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5063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/>
          <w:i/>
          <w:sz w:val="24"/>
          <w:szCs w:val="24"/>
        </w:rPr>
        <w:t>наименование учреждения)</w:t>
      </w: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теме: </w:t>
      </w:r>
      <w:r w:rsidRPr="000C5D25"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Pr="000C5D25">
        <w:rPr>
          <w:rFonts w:ascii="Times New Roman" w:hAnsi="Times New Roman"/>
          <w:sz w:val="28"/>
          <w:szCs w:val="28"/>
          <w:u w:val="single"/>
        </w:rPr>
        <w:t xml:space="preserve">Школа профессионального  развития  как эффективный механизм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0C5D25">
        <w:rPr>
          <w:rFonts w:ascii="Times New Roman" w:hAnsi="Times New Roman"/>
          <w:sz w:val="28"/>
          <w:szCs w:val="28"/>
          <w:u w:val="single"/>
        </w:rPr>
        <w:t>внутриорганизационного повышения квалификации педагогов</w:t>
      </w:r>
      <w:r w:rsidRPr="000C5D25">
        <w:rPr>
          <w:rFonts w:ascii="Times New Roman" w:hAnsi="Times New Roman"/>
          <w:sz w:val="28"/>
          <w:szCs w:val="28"/>
        </w:rPr>
        <w:t xml:space="preserve"> </w:t>
      </w:r>
    </w:p>
    <w:p w:rsidR="00857B14" w:rsidRDefault="00857B14" w:rsidP="00857B14">
      <w:pPr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7B14" w:rsidRDefault="00857B14" w:rsidP="00857B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Динская 2018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357"/>
      </w:tblGrid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Юридическое название 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Бюджетное общеобразовательное учре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 xml:space="preserve">дение муниципального образования </w:t>
            </w:r>
          </w:p>
          <w:p w:rsidR="00857B14" w:rsidRPr="00A40D36" w:rsidRDefault="00857B14" w:rsidP="008C66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Динской район  «Средняя общеобразов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ная школа №1</w:t>
            </w:r>
          </w:p>
          <w:p w:rsidR="00857B14" w:rsidRPr="00A40D36" w:rsidRDefault="00857B14" w:rsidP="008C66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имени Героя Российской Федерации Ту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кина Андрея Алексеевича»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Сокращенное название 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БОУ СОШ№1 МО Динской район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353200, Российская Федерация, Красн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дарский край,  Динской район, станица Динская, </w:t>
            </w:r>
          </w:p>
          <w:p w:rsidR="00857B14" w:rsidRPr="00A40D36" w:rsidRDefault="00857B14" w:rsidP="008C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улица Тельмана, 102</w:t>
            </w:r>
          </w:p>
          <w:p w:rsidR="00857B14" w:rsidRPr="00A40D36" w:rsidRDefault="00857B14" w:rsidP="008C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Тел./факс 6-17-27, 5-47-62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A40D3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Тел./факс 6-17-27, 5-47-62, </w:t>
            </w:r>
            <w:hyperlink r:id="rId5" w:history="1">
              <w:r w:rsidRPr="00A40D36">
                <w:rPr>
                  <w:rStyle w:val="a4"/>
                  <w:rFonts w:ascii="Times New Roman" w:hAnsi="Times New Roman"/>
                  <w:sz w:val="28"/>
                  <w:szCs w:val="28"/>
                </w:rPr>
                <w:t>school1@din.kubannet.ru</w:t>
              </w:r>
            </w:hyperlink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Булатова Лилия Петровна</w:t>
            </w:r>
          </w:p>
        </w:tc>
      </w:tr>
      <w:tr w:rsidR="00857B14" w:rsidRPr="00A40D36" w:rsidTr="00857B14">
        <w:trPr>
          <w:trHeight w:val="1138"/>
        </w:trPr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Научный руководитель (е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Булатова Лилия Петровна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Наименование инновацио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Школа профессионального  развития  как эффективный механизм     внутриорган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зационного повышения квалификации 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дагогов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Развитие профессионального мастерства педагогических будет эффективным, если  будет спроектирована и внедрена в пра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тику внутриорганизационная система 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вышения квалификации, ориентированная на индивидуальные образовательные 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требности 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Цель деятельности иннов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практику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квалифик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ции, обеспечивающей инновационное ра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витие образовательной организации и ориентированной на совершенствование профессионального мастерства педагогов в соответствии с их  индивидуальными образовательн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ми потребностями.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 Разработка механизма непрерывного образования, ориентированного на пов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ы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шение уровня профессионализма педаг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гов, позволяющей выбрать оптимальные сроки для усвоения программ, содержание и методы об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 Создание единого методического обр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тельного пространства как открытой среды.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3. Создание школьной нормативно-правовой базы, регламентирующей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ришкольное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ы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шение квалификации.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4. Планирование комплекса мероприятий, направленных на апробацию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квалифик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Мониторинг  профессионального развития педагогических работников БОУСОШ №1 МО Динской район. Осуществление ста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товой, промежуточной и итоговой диагн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стику уровня профессионального развития учит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лей, педагогических затруднений.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5. Обобщение  результатов инновацио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ного проекта, представление отчета и публичных материалов проекта: статьи, методические рекоме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дации и т.п. 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Нормативно-правовое обе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Трудовой кодекс Российской Федер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ции от 20.12.2001 г. № 197 –ФЗ (ст. 196, 197, 187)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ции: Федеральный закон №273-ФЗ от 29.12.2012 г. (ст. 47, 76)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 утверждении номенклатуры дол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ж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ностей педагогических работников 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ганизаций, осуществляющих образов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тельную деятельность, должностей 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ководителей образовательных орган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заций: Постановление Правительства Российской Федерации № 678 от 02.08.2013 г.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Концепция Федеральной целевой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граммы развития образования на 2016– 2020 годы (у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верждена распоряжением Правительства РФ от 23.05.2015 № 497);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t>Национальная образовательная иници</w:t>
            </w: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t>тива «Наша новая школа» (Пр-271 Пр</w:t>
            </w: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зидента РФ Д.А. Медведева от 04.02.2010);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" w:hanging="28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Стратегия инновационного развития Российской Федерации на период до 2020 г. (утверждена распоряжением Правительства Российской Федерации от 8 декабря 2011 г.  № 2227-р);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Профессиональный стандарт педагога, утверждённый приказом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Министерства труда и 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циальной защиты Российской Федерации от «18» октября 2013 г. № 544н;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Миноб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ния";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Миноб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ния";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 реализации права педагогических работников на дополнительное профе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сиональное образование: Совместное письмо Министерства образования и науки РФ и Общероссийского про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ф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союза обр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зования от 23 марта 2015 г. № 08-415/124 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основных профессионал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ных образовательных программ и д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полнительных профессиональных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грамм с учетом соответствующих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фессиональных стандартов: утв. Мин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стерством образования и науки РФ 22 января 2015 г. N ДЛ-1/05вн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7 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реля 2014 г. № 276 «Об утверждении порядка проведения аттестации педаг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гических организаций, осуществля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ю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щих образовательную деятельность». Зарегистрировано в Минюсте России 23 мая 2014 г.  № 32408.</w:t>
            </w:r>
          </w:p>
          <w:p w:rsidR="00857B14" w:rsidRPr="00A40D36" w:rsidRDefault="00857B14" w:rsidP="008C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11.03.16 г. № 1277 «Об аттестации 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дельной категории  педагогических 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ботников, аттестуемых в целях уст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новления квалификационных катег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рий (первой или вы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шей)»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ственной политики в сфере образования, развития си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темы образования Красн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«Школа профессиональн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го развития»  может быть создана и реал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зована в других образовательных орган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зациях, так как не требует дополнительн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го финансирования и дополнительного кадрового обеспечения.  Методические рекомендации  по использованию совр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менных технологий, электронный метод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ческий кабинет, созданные в ходе работы мастерских и студий, должны обеспечить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тиражируемость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инновации.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Новизна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Создание «Школы профессионального  развития» - многоуровневой  внутриорг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низационной системы поддержки профе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сионального развития педагога и повыш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ние его конкурентоспособн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C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Предполагаемая практич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5357" w:type="dxa"/>
          </w:tcPr>
          <w:p w:rsidR="00857B14" w:rsidRPr="00A40D36" w:rsidRDefault="00857B14" w:rsidP="008C66E9">
            <w:pPr>
              <w:pStyle w:val="a3"/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Реализация проекта «Школа професси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нального  развития  как эффективный м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ханизм внутриорганизационного повыш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ния квалификации педагогов»  будет сп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собствовать повышению профессионал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ного мастерства педагогов, приобретению ими новых компетенций, необходимых для успешной реализации ФГОС на всех уровнях образования, подготовит учит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лей к поэтапному введению професси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нального стандарта педаг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га.</w:t>
            </w:r>
          </w:p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Методические рекомендации  по испол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зованию современных технологий, эле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тронный методический кабинет, созда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ные в ходе работы мастерских и студий, должны обеспечить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тиражируемость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новации.</w:t>
            </w:r>
          </w:p>
        </w:tc>
      </w:tr>
      <w:tr w:rsidR="00857B14" w:rsidRPr="00A40D36" w:rsidTr="00857B14">
        <w:tc>
          <w:tcPr>
            <w:tcW w:w="709" w:type="dxa"/>
          </w:tcPr>
          <w:p w:rsidR="00857B14" w:rsidRPr="00A40D36" w:rsidRDefault="00857B14" w:rsidP="008C66E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B14" w:rsidRPr="00A40D36" w:rsidRDefault="00857B14" w:rsidP="00857B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Задачи деятельности на 2018 год</w:t>
            </w:r>
          </w:p>
        </w:tc>
        <w:tc>
          <w:tcPr>
            <w:tcW w:w="5357" w:type="dxa"/>
          </w:tcPr>
          <w:p w:rsidR="00857B14" w:rsidRPr="00A40D36" w:rsidRDefault="00857B14" w:rsidP="00857B1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Опытно-экспериментальная деятел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ность по реализации инновационного проекта.</w:t>
            </w:r>
          </w:p>
          <w:p w:rsidR="00857B14" w:rsidRPr="00A40D36" w:rsidRDefault="00857B14" w:rsidP="00857B1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механизма непр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рывного образования, ориентированн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го на повышение уровня профессион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лизма педагогов, позволяющей выбрать оптимальные сроки для усвоения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грамм, содержание и методы обучения.</w:t>
            </w:r>
          </w:p>
          <w:p w:rsidR="00857B14" w:rsidRPr="00A40D36" w:rsidRDefault="00857B14" w:rsidP="00857B1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единого методич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ского образовательного пространства как открытой среды.</w:t>
            </w:r>
          </w:p>
          <w:p w:rsidR="00857B14" w:rsidRPr="00A40D36" w:rsidRDefault="00857B14" w:rsidP="00857B1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школьной норм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тивно-правовой базы, регламентиру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ю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щей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внутришкольное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повышение кв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лифик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857B14" w:rsidRPr="00A40D36" w:rsidRDefault="00857B14" w:rsidP="00857B1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Реализация комплекса мероприятий, направленных на апробацию модели</w:t>
            </w:r>
            <w:r w:rsidRPr="00A40D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повышения квал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фикации.</w:t>
            </w:r>
          </w:p>
        </w:tc>
      </w:tr>
    </w:tbl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Default="00857B14" w:rsidP="00857B14">
      <w:pPr>
        <w:jc w:val="center"/>
        <w:rPr>
          <w:rFonts w:ascii="Times New Roman" w:hAnsi="Times New Roman"/>
          <w:sz w:val="28"/>
          <w:szCs w:val="28"/>
        </w:rPr>
      </w:pPr>
    </w:p>
    <w:p w:rsidR="00857B14" w:rsidRPr="00857B14" w:rsidRDefault="00857B14" w:rsidP="00857B14">
      <w:pPr>
        <w:jc w:val="center"/>
        <w:rPr>
          <w:rFonts w:ascii="Times New Roman" w:hAnsi="Times New Roman"/>
          <w:b/>
          <w:sz w:val="28"/>
          <w:szCs w:val="28"/>
        </w:rPr>
      </w:pPr>
      <w:r w:rsidRPr="00857B14"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2018 год</w:t>
      </w:r>
      <w:r w:rsidRPr="00857B14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513"/>
        <w:gridCol w:w="2142"/>
        <w:gridCol w:w="3239"/>
      </w:tblGrid>
      <w:tr w:rsidR="00857B14" w:rsidRPr="00A40D36" w:rsidTr="008C66E9">
        <w:tc>
          <w:tcPr>
            <w:tcW w:w="70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857B14" w:rsidRPr="00A40D36" w:rsidTr="008C66E9">
        <w:tc>
          <w:tcPr>
            <w:tcW w:w="9345" w:type="dxa"/>
            <w:gridSpan w:val="4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57B14" w:rsidRPr="00A40D36" w:rsidTr="008C66E9">
        <w:tc>
          <w:tcPr>
            <w:tcW w:w="70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7B14" w:rsidRPr="00A40D36" w:rsidRDefault="00857B14" w:rsidP="008C66E9">
            <w:pPr>
              <w:tabs>
                <w:tab w:val="left" w:pos="-533"/>
                <w:tab w:val="left" w:pos="31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диагн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стика профессиональных затруднений педагогич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ских работников.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57B14" w:rsidRPr="00A40D36" w:rsidRDefault="00857B14" w:rsidP="00857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- февраль 2018</w:t>
            </w:r>
          </w:p>
        </w:tc>
        <w:tc>
          <w:tcPr>
            <w:tcW w:w="2829" w:type="dxa"/>
          </w:tcPr>
          <w:p w:rsidR="00857B14" w:rsidRPr="00A40D36" w:rsidRDefault="00857B14" w:rsidP="00857B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 и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дивидуальных траект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рий развития педагогов и новое комплектование профессиональных групп. </w:t>
            </w:r>
          </w:p>
        </w:tc>
      </w:tr>
      <w:tr w:rsidR="00857B14" w:rsidRPr="00A40D36" w:rsidTr="008C66E9">
        <w:tc>
          <w:tcPr>
            <w:tcW w:w="9345" w:type="dxa"/>
            <w:gridSpan w:val="4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Теоретическая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57B14" w:rsidRPr="00A40D36" w:rsidTr="009C01F5">
        <w:trPr>
          <w:trHeight w:val="3618"/>
        </w:trPr>
        <w:tc>
          <w:tcPr>
            <w:tcW w:w="70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B14" w:rsidRPr="00A40D36" w:rsidRDefault="00857B14" w:rsidP="00A40D36">
            <w:pPr>
              <w:tabs>
                <w:tab w:val="left" w:pos="188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Внести коррективы в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граммы работы элементов Школы профессиональн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го масте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ства.</w:t>
            </w:r>
          </w:p>
          <w:p w:rsidR="00857B14" w:rsidRPr="00A40D36" w:rsidRDefault="00857B14" w:rsidP="00A40D36">
            <w:pPr>
              <w:tabs>
                <w:tab w:val="left" w:pos="188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Провести анализ  деятел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ности професси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нальных групп.</w:t>
            </w:r>
          </w:p>
          <w:p w:rsidR="00857B14" w:rsidRPr="00A40D36" w:rsidRDefault="00857B14" w:rsidP="00A40D36">
            <w:pPr>
              <w:tabs>
                <w:tab w:val="left" w:pos="188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Исходя из основных 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правлений деятельности инновационной площадки, внес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ти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коррективы в м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дель внутриорганизацио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ного повышения квалиф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кации.</w:t>
            </w:r>
          </w:p>
        </w:tc>
        <w:tc>
          <w:tcPr>
            <w:tcW w:w="2268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март 201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8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9C01F5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8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C01F5" w:rsidRPr="00A40D36" w:rsidRDefault="009C01F5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лекабрь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829" w:type="dxa"/>
          </w:tcPr>
          <w:p w:rsidR="00857B14" w:rsidRPr="00A40D36" w:rsidRDefault="009C01F5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дели внутриорганизац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онного повышения кв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лиф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кации 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7B14" w:rsidRPr="00A40D36" w:rsidTr="008C66E9">
        <w:tc>
          <w:tcPr>
            <w:tcW w:w="9345" w:type="dxa"/>
            <w:gridSpan w:val="4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857B14" w:rsidRPr="00A40D36" w:rsidTr="008C66E9">
        <w:tc>
          <w:tcPr>
            <w:tcW w:w="70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1F5" w:rsidRPr="00A40D36" w:rsidRDefault="009C01F5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9C01F5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6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1F5" w:rsidRPr="00A40D36" w:rsidRDefault="009C01F5" w:rsidP="009C01F5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Продолжить  практич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скую работу професси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нальных групп.</w:t>
            </w:r>
          </w:p>
          <w:p w:rsidR="009C01F5" w:rsidRPr="00A40D36" w:rsidRDefault="009C01F5" w:rsidP="009C01F5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Тьюторам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 продолжить разработку дидактических материалов, необходимых для эффективной 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9C01F5" w:rsidRPr="00A40D36" w:rsidRDefault="009C01F5" w:rsidP="009C01F5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Организовать ряд об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чающих семинаров и ма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тер-классов для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тьютеров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фессиональных групп. </w:t>
            </w:r>
          </w:p>
          <w:p w:rsidR="009C01F5" w:rsidRPr="00A40D36" w:rsidRDefault="009C01F5" w:rsidP="009C01F5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Организовать  реализацию программы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взаимопосещ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«Идём друг к другу в го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ти». </w:t>
            </w:r>
          </w:p>
          <w:p w:rsidR="009C01F5" w:rsidRPr="00A40D36" w:rsidRDefault="009C01F5" w:rsidP="009C01F5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Проведести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традиционные мероприятия, повыша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ю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щие мотивацию к профе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сиональному ра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витию:</w:t>
            </w:r>
          </w:p>
          <w:p w:rsidR="009C01F5" w:rsidRPr="00A40D36" w:rsidRDefault="009C01F5" w:rsidP="009C01F5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4.1.профессиональная премия «Призн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ние»</w:t>
            </w:r>
          </w:p>
          <w:p w:rsidR="009C01F5" w:rsidRPr="00A40D36" w:rsidRDefault="009C01F5" w:rsidP="009C01F5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4.2. школьный конкурс «Уч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тель года-2018»;</w:t>
            </w:r>
          </w:p>
          <w:p w:rsidR="009C01F5" w:rsidRPr="00A40D36" w:rsidRDefault="009C01F5" w:rsidP="009C01F5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4.3. школьный конкурс «Пед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гогический дебют-2018»</w:t>
            </w:r>
          </w:p>
          <w:p w:rsidR="009C01F5" w:rsidRPr="00A40D36" w:rsidRDefault="009C01F5" w:rsidP="009C01F5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4.4. школьный конкурс «Мой лучший урок-2018»;</w:t>
            </w:r>
          </w:p>
          <w:p w:rsidR="009C01F5" w:rsidRPr="00A40D36" w:rsidRDefault="009C01F5" w:rsidP="009C01F5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4.5. школьный педагог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ческий фестиваль «Восп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тываем па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риотов» и т.д.</w:t>
            </w:r>
          </w:p>
          <w:p w:rsidR="00857B14" w:rsidRPr="00A40D36" w:rsidRDefault="00857B14" w:rsidP="008C66E9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Систематический анализ администрацией школы уровня освоения педагог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ческими работниками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грамм деятельности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мет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предметных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студий и ма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терских современных те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х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нол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гий.</w:t>
            </w:r>
          </w:p>
        </w:tc>
        <w:tc>
          <w:tcPr>
            <w:tcW w:w="2268" w:type="dxa"/>
          </w:tcPr>
          <w:p w:rsidR="009C01F5" w:rsidRPr="00A40D36" w:rsidRDefault="00857B14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Январь 201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7B14" w:rsidRPr="00A40D36" w:rsidRDefault="00857B14" w:rsidP="009C0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857B14" w:rsidRPr="00A40D36" w:rsidRDefault="00857B14" w:rsidP="008C66E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1.Повышение профе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сиональной компете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ции педагогических 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ботников БОУСОШ№1 МО Динской район, 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обходимых для реал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зации ФГОС и отв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чающих требованиям профессионального стандарта педагога.</w:t>
            </w:r>
          </w:p>
          <w:p w:rsidR="00857B14" w:rsidRPr="00A40D36" w:rsidRDefault="00492B66" w:rsidP="00492B6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 Повышение уровня мотивации педагогич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ских работников к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фессинальному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росту</w:t>
            </w:r>
            <w:r w:rsidR="009B67B8"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67B8" w:rsidRPr="00A40D36" w:rsidRDefault="009B67B8" w:rsidP="00492B6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 Повышение уровня потребителей качеством оказываемых услуг</w:t>
            </w:r>
          </w:p>
          <w:p w:rsidR="009B67B8" w:rsidRPr="00A40D36" w:rsidRDefault="009B67B8" w:rsidP="00492B6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14" w:rsidRPr="00A40D36" w:rsidTr="008C66E9">
        <w:tc>
          <w:tcPr>
            <w:tcW w:w="9345" w:type="dxa"/>
            <w:gridSpan w:val="4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57B14" w:rsidRPr="00A40D36" w:rsidTr="008C66E9">
        <w:tc>
          <w:tcPr>
            <w:tcW w:w="704" w:type="dxa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B66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1F5" w:rsidRPr="00A40D36" w:rsidRDefault="009C01F5" w:rsidP="009C01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Провести методический совет по итогам деятельн</w:t>
            </w: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сти Школы професси</w:t>
            </w: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нального развития в 2018 году.</w:t>
            </w:r>
          </w:p>
          <w:p w:rsidR="009C01F5" w:rsidRPr="00A40D36" w:rsidRDefault="00492B66" w:rsidP="009C01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пополн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ять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 xml:space="preserve"> банк методических разр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боток уроков с использ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ванием современных те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>х</w:t>
            </w:r>
            <w:r w:rsidR="009C01F5" w:rsidRPr="00A40D36">
              <w:rPr>
                <w:rFonts w:ascii="Times New Roman" w:hAnsi="Times New Roman"/>
                <w:sz w:val="28"/>
                <w:szCs w:val="28"/>
              </w:rPr>
              <w:t xml:space="preserve">нологий. </w:t>
            </w:r>
          </w:p>
          <w:p w:rsidR="009C01F5" w:rsidRPr="00A40D36" w:rsidRDefault="009C01F5" w:rsidP="009C01F5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Пополн</w:t>
            </w:r>
            <w:r w:rsidR="00492B66"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ять</w:t>
            </w: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электронный банк методических мат</w:t>
            </w: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риалов, используемых  для работы професси</w:t>
            </w: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A40D36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нальных групп.</w:t>
            </w:r>
          </w:p>
          <w:p w:rsidR="009C01F5" w:rsidRPr="00A40D36" w:rsidRDefault="009C01F5" w:rsidP="009C0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На педагогическом совете школы рассмотре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межуточные отчеты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ю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торов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студий и мастерских с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временных технол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гий. </w:t>
            </w:r>
          </w:p>
          <w:p w:rsidR="009C01F5" w:rsidRPr="00A40D36" w:rsidRDefault="009C01F5" w:rsidP="009C0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По теме проекта подгот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информационные буклеты.</w:t>
            </w:r>
          </w:p>
          <w:p w:rsidR="00857B14" w:rsidRPr="00A40D36" w:rsidRDefault="009C01F5" w:rsidP="00492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 выпу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 xml:space="preserve">стить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номер школьного «Мет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дического вестника» по теме проекта.</w:t>
            </w:r>
          </w:p>
        </w:tc>
        <w:tc>
          <w:tcPr>
            <w:tcW w:w="2268" w:type="dxa"/>
          </w:tcPr>
          <w:p w:rsidR="00857B14" w:rsidRPr="00A40D36" w:rsidRDefault="00857B14" w:rsidP="00492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Февраль 201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>8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–декабрь 201</w:t>
            </w:r>
            <w:r w:rsidR="00492B66" w:rsidRPr="00A40D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857B14" w:rsidRPr="00A40D36" w:rsidRDefault="00492B66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Методические матери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лы, отчёты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тьютеров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>, информационные букл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ты, «Методический вестник»  по теме прое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857B14" w:rsidRPr="00A40D36" w:rsidTr="008C66E9">
        <w:tc>
          <w:tcPr>
            <w:tcW w:w="9345" w:type="dxa"/>
            <w:gridSpan w:val="4"/>
          </w:tcPr>
          <w:p w:rsidR="00857B14" w:rsidRPr="00A40D36" w:rsidRDefault="00857B14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Трансляционная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57B14" w:rsidRPr="00A40D36" w:rsidTr="008C66E9">
        <w:tc>
          <w:tcPr>
            <w:tcW w:w="704" w:type="dxa"/>
          </w:tcPr>
          <w:p w:rsidR="00857B14" w:rsidRPr="00A40D36" w:rsidRDefault="00492B66" w:rsidP="008C6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семинаров, мастер-классов,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, круглых столов на мун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ципальном и р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гиональном уровнях.</w:t>
            </w:r>
          </w:p>
        </w:tc>
        <w:tc>
          <w:tcPr>
            <w:tcW w:w="2268" w:type="dxa"/>
          </w:tcPr>
          <w:p w:rsidR="00857B14" w:rsidRPr="00A40D36" w:rsidRDefault="00492B66" w:rsidP="00492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8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857B14" w:rsidRPr="00A40D36">
              <w:rPr>
                <w:rFonts w:ascii="Times New Roman" w:hAnsi="Times New Roman"/>
                <w:sz w:val="28"/>
                <w:szCs w:val="28"/>
              </w:rPr>
              <w:t>201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857B14" w:rsidRPr="00A40D36" w:rsidRDefault="00857B14" w:rsidP="008C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Обобщение и распр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странение опыта работы по созданию и реализ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ции модели образов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тельного пространства, полученных резул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</w:tr>
    </w:tbl>
    <w:p w:rsidR="0047711F" w:rsidRDefault="0047711F"/>
    <w:sectPr w:rsidR="0047711F" w:rsidSect="0047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0C3"/>
    <w:multiLevelType w:val="hybridMultilevel"/>
    <w:tmpl w:val="62FA6E9A"/>
    <w:lvl w:ilvl="0" w:tplc="66402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C11"/>
    <w:multiLevelType w:val="hybridMultilevel"/>
    <w:tmpl w:val="A1E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6466"/>
    <w:multiLevelType w:val="hybridMultilevel"/>
    <w:tmpl w:val="6B646342"/>
    <w:lvl w:ilvl="0" w:tplc="38A8E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5">
    <w:nsid w:val="70872E2B"/>
    <w:multiLevelType w:val="hybridMultilevel"/>
    <w:tmpl w:val="E38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7B14"/>
    <w:rsid w:val="001C078F"/>
    <w:rsid w:val="0047711F"/>
    <w:rsid w:val="00492B66"/>
    <w:rsid w:val="0055346E"/>
    <w:rsid w:val="006D58DE"/>
    <w:rsid w:val="00857B14"/>
    <w:rsid w:val="008C66E9"/>
    <w:rsid w:val="009B67B8"/>
    <w:rsid w:val="009C01F5"/>
    <w:rsid w:val="00A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14"/>
    <w:pPr>
      <w:ind w:left="720"/>
      <w:contextualSpacing/>
    </w:pPr>
  </w:style>
  <w:style w:type="paragraph" w:customStyle="1" w:styleId="ConsPlusNonformat">
    <w:name w:val="ConsPlusNonformat"/>
    <w:rsid w:val="00857B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rsid w:val="00857B14"/>
    <w:rPr>
      <w:color w:val="0000FF"/>
      <w:u w:val="single"/>
    </w:rPr>
  </w:style>
  <w:style w:type="character" w:styleId="a5">
    <w:name w:val="Strong"/>
    <w:basedOn w:val="a0"/>
    <w:uiPriority w:val="22"/>
    <w:qFormat/>
    <w:rsid w:val="00857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@din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mailto:school1@din.kubannet.ru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ASUSNET</dc:creator>
  <cp:lastModifiedBy>Пользователь Windows</cp:lastModifiedBy>
  <cp:revision>2</cp:revision>
  <dcterms:created xsi:type="dcterms:W3CDTF">2019-01-17T13:12:00Z</dcterms:created>
  <dcterms:modified xsi:type="dcterms:W3CDTF">2019-01-17T13:12:00Z</dcterms:modified>
</cp:coreProperties>
</file>