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76" w:rsidRDefault="00C86603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E81E76" w:rsidRDefault="00E81E76">
      <w:pPr>
        <w:jc w:val="center"/>
        <w:rPr>
          <w:rFonts w:ascii="Times New Roman" w:hAnsi="Times New Roman"/>
          <w:sz w:val="32"/>
          <w:szCs w:val="32"/>
        </w:rPr>
      </w:pPr>
    </w:p>
    <w:p w:rsidR="00E81E76" w:rsidRDefault="00E81E76">
      <w:pPr>
        <w:jc w:val="center"/>
        <w:rPr>
          <w:rFonts w:ascii="Times New Roman" w:hAnsi="Times New Roman"/>
          <w:sz w:val="32"/>
          <w:szCs w:val="32"/>
        </w:rPr>
      </w:pPr>
    </w:p>
    <w:p w:rsidR="00E81E76" w:rsidRDefault="00E81E76">
      <w:pPr>
        <w:jc w:val="center"/>
        <w:rPr>
          <w:rFonts w:ascii="Times New Roman" w:hAnsi="Times New Roman"/>
          <w:sz w:val="32"/>
          <w:szCs w:val="32"/>
        </w:rPr>
      </w:pPr>
    </w:p>
    <w:p w:rsidR="00E81E76" w:rsidRDefault="00E81E76">
      <w:pPr>
        <w:jc w:val="center"/>
        <w:rPr>
          <w:rFonts w:ascii="Times New Roman" w:hAnsi="Times New Roman"/>
          <w:sz w:val="32"/>
          <w:szCs w:val="32"/>
        </w:rPr>
      </w:pPr>
    </w:p>
    <w:p w:rsidR="00E81E76" w:rsidRDefault="00E81E76">
      <w:pPr>
        <w:jc w:val="center"/>
        <w:rPr>
          <w:rFonts w:ascii="Times New Roman" w:hAnsi="Times New Roman"/>
          <w:sz w:val="32"/>
          <w:szCs w:val="32"/>
        </w:rPr>
      </w:pPr>
    </w:p>
    <w:p w:rsidR="00E81E76" w:rsidRDefault="00E81E76">
      <w:pPr>
        <w:jc w:val="center"/>
        <w:rPr>
          <w:rFonts w:ascii="Times New Roman" w:hAnsi="Times New Roman"/>
          <w:sz w:val="32"/>
          <w:szCs w:val="32"/>
        </w:rPr>
      </w:pPr>
    </w:p>
    <w:p w:rsidR="00E81E76" w:rsidRDefault="00E81E76">
      <w:pPr>
        <w:jc w:val="center"/>
        <w:rPr>
          <w:rFonts w:ascii="Times New Roman" w:hAnsi="Times New Roman"/>
          <w:sz w:val="32"/>
          <w:szCs w:val="32"/>
        </w:rPr>
      </w:pPr>
    </w:p>
    <w:p w:rsidR="00E81E76" w:rsidRDefault="00E81E7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81E76" w:rsidRDefault="00C8660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работы</w:t>
      </w:r>
    </w:p>
    <w:p w:rsidR="00E81E76" w:rsidRDefault="00C86603">
      <w:pPr>
        <w:spacing w:after="0"/>
        <w:jc w:val="center"/>
      </w:pPr>
      <w:r>
        <w:rPr>
          <w:rFonts w:ascii="Times New Roman" w:hAnsi="Times New Roman"/>
          <w:sz w:val="32"/>
          <w:szCs w:val="32"/>
        </w:rPr>
        <w:t>краевой инновационной площадки (КИП-2019)</w:t>
      </w:r>
    </w:p>
    <w:p w:rsidR="00E81E76" w:rsidRDefault="00C86603">
      <w:pPr>
        <w:spacing w:after="0"/>
        <w:jc w:val="center"/>
      </w:pPr>
      <w:r>
        <w:rPr>
          <w:rFonts w:ascii="Times New Roman" w:hAnsi="Times New Roman"/>
          <w:sz w:val="32"/>
          <w:szCs w:val="32"/>
        </w:rPr>
        <w:t>на 2019 год</w:t>
      </w:r>
    </w:p>
    <w:p w:rsidR="00E81E76" w:rsidRDefault="00E81E7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81E76" w:rsidRDefault="00C86603">
      <w:pPr>
        <w:spacing w:after="0"/>
        <w:jc w:val="center"/>
      </w:pPr>
      <w:r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E81E76" w:rsidRDefault="00C86603">
      <w:pPr>
        <w:spacing w:after="0"/>
        <w:jc w:val="center"/>
      </w:pPr>
      <w:r>
        <w:rPr>
          <w:rFonts w:ascii="Times New Roman" w:hAnsi="Times New Roman"/>
          <w:sz w:val="28"/>
          <w:szCs w:val="28"/>
          <w:u w:val="single"/>
        </w:rPr>
        <w:t>«Центр развития ребёнка - детский сад № 90»</w:t>
      </w:r>
    </w:p>
    <w:p w:rsidR="00E81E76" w:rsidRDefault="00C8660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(полное наименование учреждения)</w:t>
      </w:r>
    </w:p>
    <w:p w:rsidR="00E81E76" w:rsidRDefault="00E81E76">
      <w:pPr>
        <w:jc w:val="center"/>
        <w:rPr>
          <w:rFonts w:ascii="Times New Roman" w:hAnsi="Times New Roman"/>
          <w:i/>
          <w:sz w:val="32"/>
          <w:szCs w:val="32"/>
        </w:rPr>
      </w:pPr>
    </w:p>
    <w:p w:rsidR="00E81E76" w:rsidRDefault="00C86603">
      <w:pPr>
        <w:spacing w:after="0" w:line="36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«Воспитание правовой культуры дошкольников посредствам использования современных педагогических технологий в тесном взаимодействии с семьей»</w:t>
      </w:r>
    </w:p>
    <w:p w:rsidR="00E81E76" w:rsidRDefault="00E81E76">
      <w:pPr>
        <w:spacing w:after="0" w:line="360" w:lineRule="auto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E81E76" w:rsidRDefault="00E81E7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81E76" w:rsidRDefault="00E81E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1E76" w:rsidRDefault="00E81E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1E76" w:rsidRDefault="00E81E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1E76" w:rsidRDefault="00E81E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1E76" w:rsidRDefault="00E81E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1E76" w:rsidRDefault="00C8660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Краснодар 201</w:t>
      </w:r>
      <w:r>
        <w:rPr>
          <w:rFonts w:ascii="Times New Roman" w:hAnsi="Times New Roman"/>
          <w:sz w:val="32"/>
          <w:szCs w:val="32"/>
          <w:lang w:val="en-US"/>
        </w:rPr>
        <w:t>9</w:t>
      </w:r>
    </w:p>
    <w:p w:rsidR="00E81E76" w:rsidRDefault="00E81E7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9479" w:type="dxa"/>
        <w:tblInd w:w="-118" w:type="dxa"/>
        <w:tblLook w:val="04A0" w:firstRow="1" w:lastRow="0" w:firstColumn="1" w:lastColumn="0" w:noHBand="0" w:noVBand="1"/>
      </w:tblPr>
      <w:tblGrid>
        <w:gridCol w:w="709"/>
        <w:gridCol w:w="3373"/>
        <w:gridCol w:w="5397"/>
      </w:tblGrid>
      <w:tr w:rsidR="00E81E76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 ребёнка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Style w:val="StrongEmphasis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детский сад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 90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МО г. </w:t>
            </w:r>
            <w:r>
              <w:rPr>
                <w:rFonts w:ascii="Times New Roman" w:hAnsi="Times New Roman"/>
                <w:sz w:val="24"/>
                <w:szCs w:val="24"/>
              </w:rPr>
              <w:t>Краснодар «Центр - детский сад № 90»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350042, Российская Федерация, Краснодарский край, Центральный внутригородской округ, г. Краснодар, ул. Выставочный, 16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ind w:firstLine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факс, е-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:(861)2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52,</w:t>
            </w:r>
          </w:p>
          <w:p w:rsidR="00E81E76" w:rsidRDefault="00C8660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mdoy_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Вера Михайловна</w:t>
            </w:r>
          </w:p>
        </w:tc>
      </w:tr>
      <w:tr w:rsidR="00E81E76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Вера Михайловна- заведующий;  Иванова Юлия Владимировна-заместитель заведующего;</w:t>
            </w:r>
          </w:p>
          <w:p w:rsidR="00E81E76" w:rsidRDefault="00C86603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Гвоздева Наталья Николаевна-старший воспитатель; </w:t>
            </w:r>
          </w:p>
          <w:p w:rsidR="00E81E76" w:rsidRDefault="00C866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Сагдеева Юлия Александровна- педагог-психолог; </w:t>
            </w:r>
          </w:p>
          <w:p w:rsidR="00E81E76" w:rsidRDefault="00C86603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Макушева Гульнара Абдульбаровна- музыкальный руководитель.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по правовому воспитанию </w:t>
            </w:r>
            <w:r>
              <w:rPr>
                <w:rFonts w:ascii="Times New Roman" w:hAnsi="Times New Roman"/>
                <w:sz w:val="24"/>
                <w:szCs w:val="24"/>
              </w:rPr>
              <w:t>«Воспитание правовой культуры дошкольников». Методические рекомендации к данному пособию. Сборник дидактических игр «Я в большом мире».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подрастающей личности  как равноправного  </w:t>
            </w:r>
            <w:r>
              <w:rPr>
                <w:rFonts w:ascii="Times New Roman" w:hAnsi="Times New Roman"/>
                <w:sz w:val="24"/>
                <w:szCs w:val="24"/>
              </w:rPr>
              <w:t>члена общества  заключается в правильных ориентирах воспитания подрастающего поколения. Воспитание гражданина правового, демократического государства, способного к социализации, уважению права и свободы личности.  Обеспечение  каждому ребенку оптимальных у</w:t>
            </w:r>
            <w:r>
              <w:rPr>
                <w:rFonts w:ascii="Times New Roman" w:hAnsi="Times New Roman"/>
                <w:sz w:val="24"/>
                <w:szCs w:val="24"/>
              </w:rPr>
              <w:t>словий для развития индивидуальных способностей, возможностей самореализации вне зависимости от его психофизических особенностей, индивидуальных различий, иными словами защита прав ребенка на любом этапе его развития.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инновационной площ</w:t>
            </w:r>
            <w:r>
              <w:rPr>
                <w:rFonts w:ascii="Times New Roman" w:hAnsi="Times New Roman"/>
                <w:sz w:val="24"/>
                <w:szCs w:val="24"/>
              </w:rPr>
              <w:t>адки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 организационно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  воспитания правовой культуры дошкольников  в контексте реализации ФГОС ДО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pStyle w:val="ab"/>
              <w:numPr>
                <w:ilvl w:val="0"/>
                <w:numId w:val="3"/>
              </w:numPr>
              <w:ind w:lef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в образовательной организации оптимальные материально-технические условия для формирования основ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воспитания.</w:t>
            </w:r>
          </w:p>
          <w:p w:rsidR="00E81E76" w:rsidRDefault="00C86603">
            <w:pPr>
              <w:pStyle w:val="ab"/>
              <w:numPr>
                <w:ilvl w:val="0"/>
                <w:numId w:val="3"/>
              </w:numPr>
              <w:ind w:lef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в образовательной организации условия методической, консультативной, диагностической, психолого-педагогической поддержки участников проекта, способствующие эффективной деятельности в реализации системы правового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E76" w:rsidRDefault="00C86603">
            <w:pPr>
              <w:pStyle w:val="ab"/>
              <w:numPr>
                <w:ilvl w:val="0"/>
                <w:numId w:val="3"/>
              </w:numPr>
              <w:ind w:lef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компетенцию педагогов, способствующую успешной реализации проекта.</w:t>
            </w:r>
          </w:p>
          <w:p w:rsidR="00E81E76" w:rsidRDefault="00C86603">
            <w:pPr>
              <w:pStyle w:val="ab"/>
              <w:numPr>
                <w:ilvl w:val="0"/>
                <w:numId w:val="3"/>
              </w:numPr>
              <w:ind w:lef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методические рекомендации по  формированию основ правового воспитания дошкольников для  педагогов и родителей.</w:t>
            </w:r>
          </w:p>
          <w:p w:rsidR="00E81E76" w:rsidRDefault="00C866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Внедрить инновационные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 в образовательный процесс ДОО и обеспечить его распространение среди ДОО Краснодарского  края.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pStyle w:val="ab"/>
              <w:numPr>
                <w:ilvl w:val="0"/>
                <w:numId w:val="4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от 26.12.2012 №273-ФЗ «Об Образовании в Российской Федерации».</w:t>
            </w:r>
          </w:p>
          <w:p w:rsidR="00E81E76" w:rsidRDefault="00C86603">
            <w:pPr>
              <w:pStyle w:val="ab"/>
              <w:numPr>
                <w:ilvl w:val="0"/>
                <w:numId w:val="4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      </w:r>
          </w:p>
          <w:p w:rsidR="00E81E76" w:rsidRDefault="00C86603">
            <w:pPr>
              <w:pStyle w:val="ab"/>
              <w:numPr>
                <w:ilvl w:val="0"/>
                <w:numId w:val="4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 правах ребенка (принята Резолюцией 44/25 Генеральной Ассамблеи ООН от 2</w:t>
            </w:r>
            <w:r>
              <w:rPr>
                <w:rFonts w:ascii="Times New Roman" w:hAnsi="Times New Roman"/>
                <w:sz w:val="24"/>
                <w:szCs w:val="24"/>
              </w:rPr>
              <w:t>0ноября 1989г.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1E76" w:rsidRDefault="00C86603">
            <w:pPr>
              <w:pStyle w:val="ab"/>
              <w:numPr>
                <w:ilvl w:val="0"/>
                <w:numId w:val="4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 </w:t>
            </w:r>
            <w:r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"</w:t>
            </w:r>
            <w:r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 основных гарантиях прав ребенка в Российской Федерации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 от 24.07.1998 №124 ФЗ </w:t>
            </w:r>
          </w:p>
          <w:p w:rsidR="00E81E76" w:rsidRDefault="00C866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    Всемирная декларация об обеспечении выживания, защиты и развития детей (30 сентября 2000 г.)</w:t>
            </w:r>
          </w:p>
          <w:p w:rsidR="00E81E76" w:rsidRDefault="00C86603">
            <w:pPr>
              <w:pStyle w:val="a9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    Семейный кодекс РФ.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pStyle w:val="ab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 настоящее время в нашем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обществе возрастает роль правового образования граждан, растет ответственность чело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века за свою судьбу. Правовые нормы позволяют упорядочить общественные отношения, поведение людей.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позволит распространить опыт создания правовой образовательной среды в образовательных организациях Краснодарского края.  Благодаря такой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многогранной деятельности в ДОО, возникают равные возможности для полноценного развития каждого ребёнка независимо от места проживания, пола,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нации, языка, социального статуса и других особенностей.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модели 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воспитания в образовательном процессе дошкольной организации как  четкое реагирование на изменение социальной, экономической  и других ситуаций в современном мире, варьирование, интеграцию и  постоянное  совершенствование.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Предполагаемая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pStyle w:val="ac"/>
              <w:spacing w:before="0" w:after="0"/>
              <w:ind w:firstLine="709"/>
              <w:jc w:val="both"/>
            </w:pPr>
            <w:r>
              <w:t>Проект, составленный по результатам работы, станет руководством в создании правовой культуры образовательной среды дошкольной образовательной организации, применимый к любой дошкольной образовательной организации края. Полученные ре</w:t>
            </w:r>
            <w:r>
              <w:t>зультаты послужат основой новым проектам, направленным на качество образовательного процесса. Именно взаимодействие всех институтов воспитания, определит необходимость проектирования правовой модели воспитательной системы в непрерывном педагогическом образ</w:t>
            </w:r>
            <w:r>
              <w:t>овании.</w:t>
            </w:r>
          </w:p>
        </w:tc>
      </w:tr>
      <w:tr w:rsidR="00E81E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E81E76">
            <w:pPr>
              <w:pStyle w:val="a9"/>
              <w:numPr>
                <w:ilvl w:val="0"/>
                <w:numId w:val="1"/>
              </w:numPr>
              <w:snapToGrid w:val="0"/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деятельности на 2019 год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142" w:firstLine="0"/>
              <w:jc w:val="both"/>
              <w:rPr>
                <w:rFonts w:ascii="Bodoni MT" w:eastAsia="Times New Roman" w:hAnsi="Bodoni MT" w:cs="Bodoni MT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воспитанию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правовой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 детей дошкольного</w:t>
            </w:r>
            <w:r>
              <w:rPr>
                <w:rFonts w:ascii="Bodoni MT" w:hAnsi="Bodoni MT" w:cs="Bodoni MT"/>
                <w:sz w:val="24"/>
                <w:szCs w:val="24"/>
              </w:rPr>
              <w:t>.</w:t>
            </w:r>
          </w:p>
          <w:p w:rsidR="00E81E76" w:rsidRDefault="00C86603">
            <w:pPr>
              <w:pStyle w:val="a9"/>
              <w:numPr>
                <w:ilvl w:val="0"/>
                <w:numId w:val="2"/>
              </w:numPr>
              <w:spacing w:after="0" w:line="276" w:lineRule="auto"/>
              <w:ind w:left="0" w:firstLine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Подбор и разработка диагностического инструментария по проблеме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воспитания  правовой культуры  детей дошкольного возраста. </w:t>
            </w:r>
          </w:p>
          <w:p w:rsidR="00E81E76" w:rsidRDefault="00C86603">
            <w:pPr>
              <w:pStyle w:val="a9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76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Систематизация и оформление   материалов диагностики, обсуждение их результатов, определение стратегии</w:t>
            </w:r>
            <w:r>
              <w:rPr>
                <w:rFonts w:ascii="Verdana" w:hAnsi="Verdana" w:cs="Verdana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инновационной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проблеме.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E76" w:rsidRDefault="00E81E76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E76" w:rsidRDefault="00C86603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E81E76" w:rsidRDefault="00C866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работы краевой инновационной площадки </w:t>
      </w:r>
      <w:r>
        <w:rPr>
          <w:rFonts w:ascii="Times New Roman" w:hAnsi="Times New Roman"/>
          <w:b/>
          <w:sz w:val="28"/>
          <w:szCs w:val="28"/>
        </w:rPr>
        <w:t>на 2019 год</w:t>
      </w:r>
    </w:p>
    <w:tbl>
      <w:tblPr>
        <w:tblW w:w="9581" w:type="dxa"/>
        <w:tblInd w:w="-113" w:type="dxa"/>
        <w:tblLook w:val="04A0" w:firstRow="1" w:lastRow="0" w:firstColumn="1" w:lastColumn="0" w:noHBand="0" w:noVBand="1"/>
      </w:tblPr>
      <w:tblGrid>
        <w:gridCol w:w="2518"/>
        <w:gridCol w:w="3714"/>
        <w:gridCol w:w="1120"/>
        <w:gridCol w:w="2229"/>
      </w:tblGrid>
      <w:tr w:rsidR="00E81E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pStyle w:val="ac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pStyle w:val="ac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pStyle w:val="ac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pStyle w:val="ac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E81E76" w:rsidRDefault="00E81E76">
            <w:pPr>
              <w:pStyle w:val="ac"/>
              <w:spacing w:before="0" w:after="0"/>
              <w:jc w:val="center"/>
              <w:rPr>
                <w:b/>
                <w:lang w:eastAsia="en-US"/>
              </w:rPr>
            </w:pPr>
          </w:p>
        </w:tc>
      </w:tr>
      <w:tr w:rsidR="00E81E7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E81E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эффективности инновационной деятельности.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pStyle w:val="a9"/>
              <w:spacing w:after="0" w:line="240" w:lineRule="auto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и критериев эффективности работы</w:t>
            </w:r>
          </w:p>
          <w:p w:rsidR="00E81E76" w:rsidRDefault="00E81E76">
            <w:pPr>
              <w:pStyle w:val="a9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Март-</w:t>
            </w:r>
          </w:p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Иванова Ю.В.- заместитель заведующего; </w:t>
            </w:r>
            <w:r>
              <w:rPr>
                <w:rFonts w:ascii="Times New Roman" w:eastAsia="Calibri" w:hAnsi="Times New Roman"/>
                <w:lang w:eastAsia="en-US"/>
              </w:rPr>
              <w:t>Гвоздева Н.Н.. – старший воспитатель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E81E7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Теоретическая деятельность</w:t>
            </w:r>
          </w:p>
        </w:tc>
      </w:tr>
      <w:tr w:rsidR="00E81E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инновационного опыта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сборника диагностического инструментария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Иванова Ю.В.- заместитель заведующего; Гвоздева Н.Н.. – старший воспитатель</w:t>
            </w:r>
          </w:p>
        </w:tc>
      </w:tr>
      <w:tr w:rsidR="00E81E7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Практическая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деятельность</w:t>
            </w:r>
          </w:p>
        </w:tc>
      </w:tr>
      <w:tr w:rsidR="00E81E76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pStyle w:val="a9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воспитанию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правовой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 детей дошкольного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tabs>
                <w:tab w:val="left" w:pos="220"/>
                <w:tab w:val="left" w:pos="362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родительских собраний. Участие родителей в мероприятиях, проводимых в МБДОУ МО г. Краснодар «Центр – детский сад № 90»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течение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Гвоздева Н.Н.. – старший воспитатель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Сагдеева Ю.А.- педагог-психолог, воспитатели  </w:t>
            </w:r>
          </w:p>
        </w:tc>
      </w:tr>
      <w:tr w:rsidR="00E81E7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E81E76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tabs>
                <w:tab w:val="left" w:pos="220"/>
                <w:tab w:val="left" w:pos="36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Семинары для педагогов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Гвоздева Н.Н.. – старший воспитатель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Сагдеева Ю.А.- педагог-психолог, воспитатели  </w:t>
            </w:r>
          </w:p>
        </w:tc>
      </w:tr>
      <w:tr w:rsidR="00E81E7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E81E76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tabs>
                <w:tab w:val="left" w:pos="220"/>
                <w:tab w:val="left" w:pos="362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Привлечение к участию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сотрудничеству различные организации, структуры города и края.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Иванова Ю.В.- заместитель заведующего; Гвоздева Н.Н.. – старший воспитатель</w:t>
            </w:r>
          </w:p>
        </w:tc>
      </w:tr>
      <w:tr w:rsidR="00E81E7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Методическая деятельность</w:t>
            </w:r>
          </w:p>
        </w:tc>
      </w:tr>
      <w:tr w:rsidR="00E81E76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творческой группы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 материалов анкетирования педагогов и родителей  на определение  их компетентности в данном вопросе 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Январь-март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Иванова Ю.В.- заместитель заведующего;</w:t>
            </w:r>
          </w:p>
          <w:p w:rsidR="00E81E76" w:rsidRDefault="00C86603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Гвоздева Н.Н.. – старший воспитатель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Сагдеева Ю.А.- педагог-психолог, воспитатели  </w:t>
            </w:r>
          </w:p>
        </w:tc>
      </w:tr>
      <w:tr w:rsidR="00E81E7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E81E7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критериев анализа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сформированности  у детей первоначальных правовых знаний 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E81E7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E81E7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81E76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Трансляционная деятельность</w:t>
            </w:r>
          </w:p>
        </w:tc>
      </w:tr>
      <w:tr w:rsidR="00E81E76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Организовать мероприятия по диссеминации инновационной программы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Семинары-практикумы </w:t>
            </w:r>
          </w:p>
          <w:p w:rsidR="00E81E76" w:rsidRDefault="00C86603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.«Организация работы по правовому воспитанию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дошкольников»</w:t>
            </w:r>
          </w:p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«Межличностные отношения в группе детского сада»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  <w:p w:rsidR="00E81E76" w:rsidRDefault="00E81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1E76" w:rsidRDefault="00C86603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Иванова Ю.В.- заместитель заведующего;</w:t>
            </w:r>
          </w:p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Сагдеева Ю.А.- педагог-психолог, воспитатели  </w:t>
            </w:r>
          </w:p>
          <w:p w:rsidR="00E81E76" w:rsidRDefault="00E81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1E76" w:rsidRDefault="00E81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1E76" w:rsidRDefault="00E81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81E7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E81E76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Публикации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32"/>
              </w:rPr>
            </w:pPr>
            <w:r>
              <w:rPr>
                <w:rFonts w:ascii="Times New Roman" w:eastAsia="Calibri" w:hAnsi="Times New Roman"/>
                <w:sz w:val="24"/>
                <w:szCs w:val="32"/>
              </w:rPr>
              <w:t>В электронных и печатных сборниках</w:t>
            </w:r>
          </w:p>
          <w:p w:rsidR="00E81E76" w:rsidRDefault="00E81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81E7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E81E76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конференциях, форумах, семинарах и т.п.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 - ноябрь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76" w:rsidRDefault="00C866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Иванова Ю.В.- заместитель заведующего;</w:t>
            </w:r>
          </w:p>
        </w:tc>
      </w:tr>
    </w:tbl>
    <w:p w:rsidR="00E81E76" w:rsidRDefault="00E81E76"/>
    <w:sectPr w:rsidR="00E81E76">
      <w:footerReference w:type="default" r:id="rId8"/>
      <w:pgSz w:w="11906" w:h="16838"/>
      <w:pgMar w:top="1134" w:right="850" w:bottom="1134" w:left="1701" w:header="0" w:footer="11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6603">
      <w:pPr>
        <w:spacing w:after="0" w:line="240" w:lineRule="auto"/>
      </w:pPr>
      <w:r>
        <w:separator/>
      </w:r>
    </w:p>
  </w:endnote>
  <w:endnote w:type="continuationSeparator" w:id="0">
    <w:p w:rsidR="00000000" w:rsidRDefault="00C8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76" w:rsidRDefault="00C86603">
    <w:pPr>
      <w:pStyle w:val="a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E81E76" w:rsidRDefault="00E81E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6603">
      <w:pPr>
        <w:spacing w:after="0" w:line="240" w:lineRule="auto"/>
      </w:pPr>
      <w:r>
        <w:separator/>
      </w:r>
    </w:p>
  </w:footnote>
  <w:footnote w:type="continuationSeparator" w:id="0">
    <w:p w:rsidR="00000000" w:rsidRDefault="00C8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849"/>
    <w:multiLevelType w:val="multilevel"/>
    <w:tmpl w:val="103898A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C0181"/>
    <w:multiLevelType w:val="multilevel"/>
    <w:tmpl w:val="E41496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71E4E"/>
    <w:multiLevelType w:val="multilevel"/>
    <w:tmpl w:val="B8BC98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6B6D77"/>
    <w:multiLevelType w:val="multilevel"/>
    <w:tmpl w:val="62DAA1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B990106"/>
    <w:multiLevelType w:val="multilevel"/>
    <w:tmpl w:val="EA3A45E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76"/>
    <w:rsid w:val="00C86603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eastAsia="Times New Roman" w:cs="Times New Roman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a3">
    <w:name w:val="Нижний колонтитул Знак"/>
    <w:qFormat/>
    <w:rPr>
      <w:rFonts w:eastAsia="Calibri"/>
    </w:rPr>
  </w:style>
  <w:style w:type="character" w:customStyle="1" w:styleId="hl">
    <w:name w:val="hl"/>
    <w:basedOn w:val="a0"/>
    <w:qFormat/>
  </w:style>
  <w:style w:type="character" w:customStyle="1" w:styleId="a4">
    <w:name w:val="Абзац списка Знак"/>
    <w:qFormat/>
    <w:rPr>
      <w:rFonts w:eastAsia="Calibri"/>
    </w:rPr>
  </w:style>
  <w:style w:type="character" w:customStyle="1" w:styleId="blk">
    <w:name w:val="blk"/>
    <w:basedOn w:val="a0"/>
    <w:qFormat/>
  </w:style>
  <w:style w:type="character" w:customStyle="1" w:styleId="b">
    <w:name w:val="b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a">
    <w:name w:val="footer"/>
    <w:basedOn w:val="a"/>
    <w:pPr>
      <w:spacing w:after="0" w:line="240" w:lineRule="auto"/>
    </w:pPr>
    <w:rPr>
      <w:rFonts w:eastAsia="Calibri"/>
    </w:rPr>
  </w:style>
  <w:style w:type="paragraph" w:styleId="ab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eastAsia="Times New Roman" w:cs="Times New Roman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a3">
    <w:name w:val="Нижний колонтитул Знак"/>
    <w:qFormat/>
    <w:rPr>
      <w:rFonts w:eastAsia="Calibri"/>
    </w:rPr>
  </w:style>
  <w:style w:type="character" w:customStyle="1" w:styleId="hl">
    <w:name w:val="hl"/>
    <w:basedOn w:val="a0"/>
    <w:qFormat/>
  </w:style>
  <w:style w:type="character" w:customStyle="1" w:styleId="a4">
    <w:name w:val="Абзац списка Знак"/>
    <w:qFormat/>
    <w:rPr>
      <w:rFonts w:eastAsia="Calibri"/>
    </w:rPr>
  </w:style>
  <w:style w:type="character" w:customStyle="1" w:styleId="blk">
    <w:name w:val="blk"/>
    <w:basedOn w:val="a0"/>
    <w:qFormat/>
  </w:style>
  <w:style w:type="character" w:customStyle="1" w:styleId="b">
    <w:name w:val="b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a">
    <w:name w:val="footer"/>
    <w:basedOn w:val="a"/>
    <w:pPr>
      <w:spacing w:after="0" w:line="240" w:lineRule="auto"/>
    </w:pPr>
    <w:rPr>
      <w:rFonts w:eastAsia="Calibri"/>
    </w:rPr>
  </w:style>
  <w:style w:type="paragraph" w:styleId="ab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2019-01-29T12:51:00Z</cp:lastPrinted>
  <dcterms:created xsi:type="dcterms:W3CDTF">2020-01-18T06:51:00Z</dcterms:created>
  <dcterms:modified xsi:type="dcterms:W3CDTF">2020-01-18T06:51:00Z</dcterms:modified>
  <dc:language>en-US</dc:language>
</cp:coreProperties>
</file>