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0B7" w:rsidRDefault="008E00B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0B7" w:rsidRDefault="008E00B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0B7" w:rsidRDefault="008E00B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</w:t>
      </w:r>
      <w:r w:rsidR="009C711D">
        <w:rPr>
          <w:rFonts w:ascii="Times New Roman" w:hAnsi="Times New Roman" w:cs="Times New Roman"/>
          <w:sz w:val="32"/>
          <w:szCs w:val="32"/>
        </w:rPr>
        <w:t>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9C711D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</w:t>
      </w:r>
      <w:r w:rsidR="009C711D">
        <w:rPr>
          <w:rFonts w:ascii="Times New Roman" w:hAnsi="Times New Roman" w:cs="Times New Roman"/>
          <w:sz w:val="32"/>
          <w:szCs w:val="32"/>
        </w:rPr>
        <w:t>7</w:t>
      </w:r>
      <w:r w:rsidR="00337ACC">
        <w:rPr>
          <w:rFonts w:ascii="Times New Roman" w:hAnsi="Times New Roman" w:cs="Times New Roman"/>
          <w:sz w:val="32"/>
          <w:szCs w:val="32"/>
        </w:rPr>
        <w:t>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Pr="006C0E39" w:rsidRDefault="006525A8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м</w:t>
      </w:r>
      <w:r w:rsidR="009C711D">
        <w:rPr>
          <w:rFonts w:ascii="Times New Roman" w:hAnsi="Times New Roman" w:cs="Times New Roman"/>
          <w:sz w:val="28"/>
          <w:szCs w:val="24"/>
          <w:u w:val="single"/>
        </w:rPr>
        <w:t>униципальное автономное</w:t>
      </w:r>
      <w:r w:rsidR="006C0E39" w:rsidRPr="006C0E39">
        <w:rPr>
          <w:rFonts w:ascii="Times New Roman" w:hAnsi="Times New Roman" w:cs="Times New Roman"/>
          <w:sz w:val="28"/>
          <w:szCs w:val="24"/>
          <w:u w:val="single"/>
        </w:rPr>
        <w:t xml:space="preserve"> общеобразовательное учреждение </w:t>
      </w:r>
    </w:p>
    <w:p w:rsidR="00337ACC" w:rsidRPr="006C0E39" w:rsidRDefault="009C711D" w:rsidP="00337ACC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лицей посе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u w:val="single"/>
        </w:rPr>
        <w:t xml:space="preserve">лка Афипского МО Северский район 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0E39" w:rsidRDefault="00337ACC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6C0E39" w:rsidRPr="009C711D" w:rsidRDefault="006C0E39" w:rsidP="006C0E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C711D">
        <w:rPr>
          <w:rFonts w:ascii="Times New Roman" w:hAnsi="Times New Roman" w:cs="Times New Roman"/>
          <w:b/>
          <w:sz w:val="32"/>
          <w:szCs w:val="32"/>
        </w:rPr>
        <w:t>"</w:t>
      </w:r>
      <w:r w:rsidR="009C711D" w:rsidRPr="009C711D">
        <w:rPr>
          <w:rFonts w:ascii="Times New Roman" w:eastAsia="Calibri" w:hAnsi="Times New Roman" w:cs="Times New Roman"/>
          <w:b/>
          <w:sz w:val="32"/>
          <w:szCs w:val="32"/>
        </w:rPr>
        <w:t>Система методического сопровождения индивидуальной проектной деятельности учащихся как основа преемственности ФГОС ООО и ФГОС СОО</w:t>
      </w:r>
      <w:r w:rsidRPr="009C711D">
        <w:rPr>
          <w:rFonts w:ascii="Times New Roman" w:hAnsi="Times New Roman" w:cs="Times New Roman"/>
          <w:b/>
          <w:sz w:val="32"/>
          <w:szCs w:val="32"/>
        </w:rPr>
        <w:t>"</w:t>
      </w:r>
    </w:p>
    <w:p w:rsidR="0098555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C711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383" w:rsidRDefault="00FD038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лицей поселка городского типа Афипского муниципального образования Северский район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лицей </w:t>
            </w:r>
            <w:proofErr w:type="spellStart"/>
            <w:r w:rsidRPr="008E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Афипского МО Северский район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8E00B7" w:rsidRDefault="009C711D" w:rsidP="008E00B7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</w:t>
            </w:r>
            <w:r w:rsidR="00692AD9"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Северский район</w:t>
            </w:r>
            <w:r w:rsidR="00692AD9"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Афипский, ул. Победы, д.9</w:t>
            </w:r>
            <w:r w:rsidR="00692AD9"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92AD9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8(86166)33-1-95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9C711D" w:rsidRPr="008E00B7" w:rsidRDefault="009C711D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8(86166)33-1-95</w:t>
            </w:r>
          </w:p>
          <w:p w:rsidR="009C711D" w:rsidRPr="008E00B7" w:rsidRDefault="009C711D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: uvr.5-8@yandex.ru</w:t>
            </w:r>
          </w:p>
          <w:p w:rsidR="00654572" w:rsidRPr="008E00B7" w:rsidRDefault="009C711D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адрес сайта: afipskiylicey.ru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8E00B7" w:rsidRDefault="009C711D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Жученко Наталья Евгеньевна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8E00B7" w:rsidRDefault="009C711D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Лукашева Ольга Викторовна, заведующий кафедрой управления образовательными системами ГБОУ Институт развития образования Краснодарского края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9C711D" w:rsidRPr="008E00B7" w:rsidRDefault="009C711D" w:rsidP="008E00B7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Мироненко Елена Владимировна, заместитель директора по УВР</w:t>
            </w:r>
          </w:p>
          <w:p w:rsidR="004E7EF6" w:rsidRPr="008E00B7" w:rsidRDefault="009C711D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Шабанова Надежда Владимировна, педагог-психолог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«Система методического сопровождения индивидуальной проектной деятельности учащихся как основа преемственности ФГОС ООО и ФГОС СОО»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9C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8E00B7" w:rsidRDefault="009C711D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Психолого-педагогическая индивидуализация проектной деятельности учащихся является условием эффективного функционирования </w:t>
            </w:r>
            <w:r w:rsidRPr="008E0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семиотического образовательного пространства</w:t>
            </w: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СОО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692AD9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индивидуализация учебного процесс</w:t>
            </w:r>
            <w:proofErr w:type="gram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а ООО и</w:t>
            </w:r>
            <w:proofErr w:type="gram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СОО.</w:t>
            </w:r>
          </w:p>
          <w:p w:rsidR="00692AD9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учащихся, способствующей осознанному профессиональному выбору.</w:t>
            </w:r>
          </w:p>
          <w:p w:rsidR="00692AD9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образовательного </w:t>
            </w:r>
            <w:r w:rsidRPr="008E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пространства, обеспечивающего преемственность ФГОС ООО И ФОС СОО </w:t>
            </w:r>
          </w:p>
          <w:p w:rsidR="004E7EF6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образовательной среды с учетом перехода на ФГОС СОО.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4E7EF6" w:rsidRPr="008E00B7" w:rsidRDefault="004E7EF6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692AD9" w:rsidRPr="008E00B7" w:rsidRDefault="00692AD9" w:rsidP="008E00B7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от 29.12.2012 N 273-ФЗ "Об образовании в Российской Федерации" (с изм. и доп.) </w:t>
            </w:r>
          </w:p>
          <w:p w:rsidR="00692AD9" w:rsidRPr="008E00B7" w:rsidRDefault="00692AD9" w:rsidP="008E00B7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государственный образовательный стандарт основного общего образования (утв. приказ № 1897от 17 декабря 2010 г.)</w:t>
            </w:r>
          </w:p>
          <w:p w:rsidR="00692AD9" w:rsidRPr="008E00B7" w:rsidRDefault="00692AD9" w:rsidP="008E00B7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государственный образовательный стандарт среднего общего образования (утв. приказ № 413 от 29 декабря 2014г.) </w:t>
            </w:r>
          </w:p>
          <w:p w:rsidR="00692AD9" w:rsidRPr="008E00B7" w:rsidRDefault="00692AD9" w:rsidP="008E00B7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№ 189 (далее – СанПиН 2.4.2.2821-10)</w:t>
            </w:r>
          </w:p>
          <w:p w:rsidR="00692AD9" w:rsidRPr="008E00B7" w:rsidRDefault="00692AD9" w:rsidP="008E00B7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Федеральная  целевая программа развития образования на 2016 - 2020 годы, утверждена распоряжением Правительства Российской Федерации от 29 декабря 2014 г. N 2765-р</w:t>
            </w:r>
          </w:p>
          <w:p w:rsidR="004E7EF6" w:rsidRPr="008E00B7" w:rsidRDefault="00692AD9" w:rsidP="008E00B7">
            <w:pPr>
              <w:pStyle w:val="ac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Устав МАОУ лицей </w:t>
            </w:r>
            <w:proofErr w:type="spellStart"/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8E00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Афипского, утверждён постановлением администрации муниципального образования Северский район  03.09.2015г. № 1170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692AD9" w:rsidRPr="008E00B7" w:rsidRDefault="00692AD9" w:rsidP="008E00B7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позволит обеспечить гармоничное поэтапное обучение учащихся проектной деятельности с учетом целей и задач, определяющих эту деятельность на каждом уровне общего образования. Таким </w:t>
            </w:r>
            <w:r w:rsidR="00022519"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образом,</w:t>
            </w: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будет достигнута прикладная эффективность индивидуальной проектной деятельности учащихся на уровне ФГОС СОО. На уровне ФГОС СОО индивидуальная проектная деятельность учащихся становится более императивной и регламентированной. В условиях пилотного режима перехода на ФГОС СОО будет разработана система методического сопровождения подготовки учащегося к данной деятельности в старшей школе, что может стать базой для формирования собственного опыт</w:t>
            </w:r>
            <w:proofErr w:type="gramStart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которые будут переходить на ФГОС СОО, начиная с 2017 года. </w:t>
            </w:r>
          </w:p>
          <w:p w:rsidR="004E7EF6" w:rsidRPr="008E00B7" w:rsidRDefault="00692AD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разработанные в реализации данного проекта методическое обеспечение будет иметь  универсальный характер и может быть абсолютно </w:t>
            </w:r>
            <w:proofErr w:type="spellStart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диссеминировано</w:t>
            </w:r>
            <w:proofErr w:type="spellEnd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уровне любог</w:t>
            </w:r>
            <w:proofErr w:type="gramStart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о ООО</w:t>
            </w:r>
            <w:proofErr w:type="gramEnd"/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22519" w:rsidRPr="008E00B7" w:rsidRDefault="0002251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комплексном подходе к формированию компетенций учащихся в области индивидуально проектной деятельности, включающем не только педагогическую, но и психологическую компоненту индивидуализации проектной деятельности учащихся, что будет способствовать снижению степени </w:t>
            </w:r>
            <w:proofErr w:type="spell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проблемности</w:t>
            </w:r>
            <w:proofErr w:type="spell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с реализацией индивидуальной проектной деятельности в условиях ФГОС СОО: диагностирование уровня актуального развития ребенка, особенностей его мыслительной деятельностью (тип мышления) и уровня развития учебных </w:t>
            </w:r>
            <w:r w:rsidRPr="008E0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на основе чего</w:t>
            </w:r>
            <w:proofErr w:type="gram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разрабатывается индивидуальная траектория обучения основам проектной деятельности, формирование инструментария проектной деятельности.</w:t>
            </w:r>
          </w:p>
          <w:p w:rsidR="004E7EF6" w:rsidRPr="008E00B7" w:rsidRDefault="0002251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На этой основе уже в условиях ФГОС СОО учащийся становится активным субъектом проектной деятельности, способным в условиях </w:t>
            </w:r>
            <w:proofErr w:type="spell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к самостоятельной </w:t>
            </w:r>
            <w:proofErr w:type="spell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 в условиях сетевого взаимодействия.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8E00B7" w:rsidRDefault="00022519" w:rsidP="008E00B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диссеминации опыта </w:t>
            </w:r>
            <w:proofErr w:type="gram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на ровне</w:t>
            </w:r>
            <w:proofErr w:type="gram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любых ОО, уже на этапе реализации ФГОС ООО. С последующим поэтапным развитие до уровня ФГОС СОО</w:t>
            </w:r>
          </w:p>
        </w:tc>
      </w:tr>
      <w:tr w:rsidR="007C3EBC" w:rsidRPr="00634BAC" w:rsidTr="008E00B7">
        <w:tc>
          <w:tcPr>
            <w:tcW w:w="709" w:type="dxa"/>
          </w:tcPr>
          <w:p w:rsidR="007C3EBC" w:rsidRPr="00337ACC" w:rsidRDefault="007C3EBC" w:rsidP="004739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C3EBC" w:rsidRPr="00634BAC" w:rsidRDefault="007C3EBC" w:rsidP="00022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022519" w:rsidRPr="008E0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22519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научно-методической литературы по данной проблеме;</w:t>
            </w:r>
          </w:p>
          <w:p w:rsidR="00022519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подобного опыта в регионе и </w:t>
            </w:r>
            <w:proofErr w:type="gramStart"/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вне</w:t>
            </w:r>
            <w:proofErr w:type="gramEnd"/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22519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целенаправленных контактов лицея с ВУЗами края, предприятиями-участниками проектной деятельности учащихся;</w:t>
            </w:r>
          </w:p>
          <w:p w:rsidR="00022519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диагностических исследований в рамках идеи проекта, провести анализ и интерпретацию результатов;</w:t>
            </w:r>
          </w:p>
          <w:p w:rsidR="00022519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необходимые условия для реализации программы (кадровые, материально-технические);</w:t>
            </w:r>
          </w:p>
          <w:p w:rsidR="00022519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Апробировать модель, провести контроль реализации;</w:t>
            </w:r>
          </w:p>
          <w:p w:rsidR="00022519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коллективный анализ эффективности программы, рефлексия полученного опыта;</w:t>
            </w:r>
          </w:p>
          <w:p w:rsidR="007C3EBC" w:rsidRPr="008E00B7" w:rsidRDefault="00022519" w:rsidP="008E00B7">
            <w:pPr>
              <w:pStyle w:val="ac"/>
              <w:numPr>
                <w:ilvl w:val="0"/>
                <w:numId w:val="11"/>
              </w:numPr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bCs/>
                <w:sz w:val="28"/>
                <w:szCs w:val="28"/>
              </w:rPr>
              <w:t>Оценить эффективность инновационной программы, сформулировать методические рекомендации по реализации.</w:t>
            </w:r>
          </w:p>
        </w:tc>
      </w:tr>
    </w:tbl>
    <w:p w:rsidR="00701F69" w:rsidRDefault="00701F69" w:rsidP="00473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22519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E17D87" w:rsidRPr="00147B96" w:rsidTr="007C3EBC">
        <w:tc>
          <w:tcPr>
            <w:tcW w:w="70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F76022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205A40">
        <w:tc>
          <w:tcPr>
            <w:tcW w:w="9345" w:type="dxa"/>
            <w:gridSpan w:val="4"/>
          </w:tcPr>
          <w:p w:rsidR="00147B96" w:rsidRPr="00F76022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E5AD0" w:rsidTr="001E5AD0">
        <w:trPr>
          <w:trHeight w:val="2874"/>
        </w:trPr>
        <w:tc>
          <w:tcPr>
            <w:tcW w:w="704" w:type="dxa"/>
          </w:tcPr>
          <w:p w:rsidR="001E5AD0" w:rsidRPr="00F76022" w:rsidRDefault="001E5AD0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5AD0" w:rsidRPr="001E5AD0" w:rsidRDefault="001E5AD0" w:rsidP="008E00B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диагностических  исследований с целью изучения отношения </w:t>
            </w:r>
            <w:r w:rsidR="00BD6A80" w:rsidRPr="008E00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участников</w:t>
            </w:r>
            <w:r w:rsidR="00BD6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образовательного процесса к инновационной деятельности и идеям проекта.</w:t>
            </w:r>
          </w:p>
        </w:tc>
        <w:tc>
          <w:tcPr>
            <w:tcW w:w="2268" w:type="dxa"/>
          </w:tcPr>
          <w:p w:rsidR="001E5AD0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1E5AD0" w:rsidRPr="00022519" w:rsidRDefault="001E5AD0" w:rsidP="0002251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коллектива с результатами исследований, определение проблем, причинно-следственных связей и перспектив совместной деятельности по решению данной проблемы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5AD0" w:rsidRPr="00F76022" w:rsidRDefault="001E5AD0" w:rsidP="0002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Внесение корректив в </w:t>
            </w:r>
            <w:proofErr w:type="gramStart"/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первичную</w:t>
            </w:r>
            <w:proofErr w:type="gramEnd"/>
            <w:r w:rsidRPr="00022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модель-проекта инновационной деятельности</w:t>
            </w:r>
            <w:r w:rsidRPr="00022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AD0" w:rsidTr="007C3EBC">
        <w:tc>
          <w:tcPr>
            <w:tcW w:w="704" w:type="dxa"/>
          </w:tcPr>
          <w:p w:rsidR="001E5AD0" w:rsidRPr="00F76022" w:rsidRDefault="001E5AD0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5AD0" w:rsidRPr="001E5AD0" w:rsidRDefault="001E5AD0" w:rsidP="001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диагностических исследований; обработка, анализ и интерпретация полученных результатов</w:t>
            </w:r>
          </w:p>
        </w:tc>
        <w:tc>
          <w:tcPr>
            <w:tcW w:w="2268" w:type="dxa"/>
          </w:tcPr>
          <w:p w:rsidR="001E5AD0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1E5AD0" w:rsidRPr="00022519" w:rsidRDefault="001E5AD0" w:rsidP="0002251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B96" w:rsidTr="00205A40">
        <w:tc>
          <w:tcPr>
            <w:tcW w:w="9345" w:type="dxa"/>
            <w:gridSpan w:val="4"/>
          </w:tcPr>
          <w:p w:rsidR="00147B96" w:rsidRPr="00F76022" w:rsidRDefault="00147B96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1E5AD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1E5A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17D87" w:rsidTr="007C3EBC">
        <w:tc>
          <w:tcPr>
            <w:tcW w:w="704" w:type="dxa"/>
          </w:tcPr>
          <w:p w:rsidR="007C3EBC" w:rsidRPr="00F76022" w:rsidRDefault="007C3EBC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0A65" w:rsidRPr="00F76022" w:rsidRDefault="001E5AD0" w:rsidP="001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подобного</w:t>
            </w: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опыта по теме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регионе и за его пределами</w:t>
            </w: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C3EBC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D6A80" w:rsidRDefault="00BD6A80" w:rsidP="001E5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методической основы проекта.</w:t>
            </w:r>
          </w:p>
          <w:p w:rsidR="001E5AD0" w:rsidRPr="00F76022" w:rsidRDefault="001E5AD0" w:rsidP="001E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учебно-методической литературы.  </w:t>
            </w:r>
          </w:p>
        </w:tc>
      </w:tr>
      <w:tr w:rsidR="00E17D87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1E5AD0" w:rsidP="001E5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в области проектной и исследовательской деятельности</w:t>
            </w: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6022" w:rsidRPr="00F76022" w:rsidRDefault="001E5A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D6A80" w:rsidRDefault="00BD6A80" w:rsidP="001E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педагогов</w:t>
            </w:r>
            <w:r w:rsidR="008E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071" w:rsidRPr="00F76022" w:rsidRDefault="001E5AD0" w:rsidP="001E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полученного опыта в рамках данного года реализации КИП.  </w:t>
            </w:r>
          </w:p>
        </w:tc>
      </w:tr>
      <w:tr w:rsidR="00147B96" w:rsidTr="00205A40">
        <w:tc>
          <w:tcPr>
            <w:tcW w:w="9345" w:type="dxa"/>
            <w:gridSpan w:val="4"/>
          </w:tcPr>
          <w:p w:rsidR="00147B96" w:rsidRPr="00F76022" w:rsidRDefault="00147B96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F76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E17D87" w:rsidTr="007C3EBC">
        <w:tc>
          <w:tcPr>
            <w:tcW w:w="704" w:type="dxa"/>
          </w:tcPr>
          <w:p w:rsidR="00147B96" w:rsidRPr="00F76022" w:rsidRDefault="00147B9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36E9" w:rsidRPr="00F76022" w:rsidRDefault="00E17D87" w:rsidP="008E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2519" w:rsidRPr="00022519">
              <w:rPr>
                <w:rFonts w:ascii="Times New Roman" w:hAnsi="Times New Roman" w:cs="Times New Roman"/>
                <w:sz w:val="28"/>
                <w:szCs w:val="28"/>
              </w:rPr>
              <w:t>пробирование модели, обновление содержания, организационных форм, педагогических технологий</w:t>
            </w:r>
            <w:r w:rsidR="008E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47B96" w:rsidRPr="00F76022" w:rsidRDefault="00E17D8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B4986" w:rsidRPr="008E00B7" w:rsidRDefault="002B4986" w:rsidP="008E00B7">
            <w:pPr>
              <w:tabs>
                <w:tab w:val="left" w:pos="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Мониторинговые исследования</w:t>
            </w:r>
          </w:p>
          <w:p w:rsidR="00147B96" w:rsidRPr="00F76022" w:rsidRDefault="00147B96" w:rsidP="0023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87" w:rsidTr="007C3EBC">
        <w:tc>
          <w:tcPr>
            <w:tcW w:w="704" w:type="dxa"/>
          </w:tcPr>
          <w:p w:rsidR="00F534CE" w:rsidRPr="00F76022" w:rsidRDefault="00F534CE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34CE" w:rsidRPr="00F76022" w:rsidRDefault="00E17D87" w:rsidP="008E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своение эффективных образовательных </w:t>
            </w:r>
            <w:proofErr w:type="gramStart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техно-логий</w:t>
            </w:r>
            <w:proofErr w:type="gramEnd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направленностью на развитие ключевых компетентностей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педагогов.</w:t>
            </w:r>
          </w:p>
        </w:tc>
        <w:tc>
          <w:tcPr>
            <w:tcW w:w="2268" w:type="dxa"/>
          </w:tcPr>
          <w:p w:rsidR="00F534CE" w:rsidRPr="00F76022" w:rsidRDefault="00E17D8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E17D87" w:rsidRDefault="00E17D87" w:rsidP="00E1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учебно-методической литературы по проектной и исследовательской деятельности.</w:t>
            </w:r>
          </w:p>
          <w:p w:rsidR="008B3AA5" w:rsidRPr="008E00B7" w:rsidRDefault="008B3AA5" w:rsidP="008E00B7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Мониторинговые исследования.</w:t>
            </w:r>
          </w:p>
          <w:p w:rsidR="008B3AA5" w:rsidRPr="00F76022" w:rsidRDefault="008B3AA5" w:rsidP="008E00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опыта.</w:t>
            </w:r>
          </w:p>
        </w:tc>
      </w:tr>
      <w:tr w:rsidR="00E17D87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E17D87" w:rsidP="008E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зучение эффективности </w:t>
            </w:r>
            <w:proofErr w:type="spellStart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нововведенией</w:t>
            </w:r>
            <w:proofErr w:type="spellEnd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характеристик 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6022" w:rsidRPr="00F76022" w:rsidRDefault="00E17D8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E17D87" w:rsidRPr="00E17D87" w:rsidRDefault="00E17D87" w:rsidP="00E17D87">
            <w:pPr>
              <w:tabs>
                <w:tab w:val="left" w:pos="1245"/>
                <w:tab w:val="center" w:pos="1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деятельности по подготовке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="0023147C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10-х классов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76022" w:rsidRPr="00F76022" w:rsidRDefault="00E17D87" w:rsidP="00E17D87">
            <w:pPr>
              <w:tabs>
                <w:tab w:val="left" w:pos="1245"/>
                <w:tab w:val="center" w:pos="1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диагностики. </w:t>
            </w:r>
          </w:p>
        </w:tc>
      </w:tr>
      <w:tr w:rsidR="00E17D87" w:rsidRPr="00750278" w:rsidTr="007C3EBC">
        <w:tc>
          <w:tcPr>
            <w:tcW w:w="704" w:type="dxa"/>
          </w:tcPr>
          <w:p w:rsidR="00F76022" w:rsidRPr="00F76022" w:rsidRDefault="00F76022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76022" w:rsidRPr="00F76022" w:rsidRDefault="00E17D87" w:rsidP="00E1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документации для успешной реализации мероприятий в </w:t>
            </w:r>
            <w:proofErr w:type="spellStart"/>
            <w:proofErr w:type="gramStart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соответ-ствии</w:t>
            </w:r>
            <w:proofErr w:type="spellEnd"/>
            <w:proofErr w:type="gramEnd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с инновационным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76022" w:rsidRPr="00F76022" w:rsidRDefault="0023147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F76022" w:rsidRPr="008E00B7" w:rsidRDefault="0023147C" w:rsidP="008E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Разработка.</w:t>
            </w:r>
          </w:p>
          <w:p w:rsidR="00750278" w:rsidRPr="00750278" w:rsidRDefault="008E00B7" w:rsidP="008E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0278" w:rsidRPr="008E00B7">
              <w:rPr>
                <w:rFonts w:ascii="Times New Roman" w:hAnsi="Times New Roman" w:cs="Times New Roman"/>
                <w:sz w:val="28"/>
                <w:szCs w:val="28"/>
              </w:rPr>
              <w:t>окальных нормативных актов и методических материалов по теме проекта</w:t>
            </w:r>
          </w:p>
        </w:tc>
      </w:tr>
      <w:tr w:rsidR="00E17D87" w:rsidTr="007C3EBC">
        <w:tc>
          <w:tcPr>
            <w:tcW w:w="704" w:type="dxa"/>
          </w:tcPr>
          <w:p w:rsidR="00E17D87" w:rsidRPr="00750278" w:rsidRDefault="00E17D87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7D87" w:rsidRPr="00F76022" w:rsidRDefault="00E17D87" w:rsidP="008E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онтроль реализации </w:t>
            </w:r>
            <w:proofErr w:type="gramStart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ин-</w:t>
            </w:r>
            <w:proofErr w:type="spellStart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новационной</w:t>
            </w:r>
            <w:proofErr w:type="spellEnd"/>
            <w:proofErr w:type="gramEnd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E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17D87" w:rsidRDefault="0023147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50278" w:rsidRPr="00F76022" w:rsidRDefault="00750278" w:rsidP="0023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</w:t>
            </w:r>
          </w:p>
        </w:tc>
      </w:tr>
      <w:tr w:rsidR="00E17D87" w:rsidTr="007C3EBC">
        <w:tc>
          <w:tcPr>
            <w:tcW w:w="704" w:type="dxa"/>
          </w:tcPr>
          <w:p w:rsidR="00E17D87" w:rsidRPr="00F76022" w:rsidRDefault="00E17D87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7D87" w:rsidRPr="00F76022" w:rsidRDefault="00E17D87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оллективный анализ, </w:t>
            </w:r>
            <w:proofErr w:type="gramStart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вы-явление</w:t>
            </w:r>
            <w:proofErr w:type="gramEnd"/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опыта, определение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17D87" w:rsidRDefault="00D164C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29" w:type="dxa"/>
          </w:tcPr>
          <w:p w:rsidR="00E17D87" w:rsidRPr="00F76022" w:rsidRDefault="0023147C" w:rsidP="00CE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мотивации учащихся 10-х классов</w:t>
            </w:r>
          </w:p>
        </w:tc>
      </w:tr>
      <w:tr w:rsidR="00E8201C" w:rsidTr="00205A40">
        <w:tc>
          <w:tcPr>
            <w:tcW w:w="9345" w:type="dxa"/>
            <w:gridSpan w:val="4"/>
          </w:tcPr>
          <w:p w:rsidR="00E8201C" w:rsidRPr="00F76022" w:rsidRDefault="00E8201C" w:rsidP="00F76022">
            <w:pPr>
              <w:pStyle w:val="a4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E17D87" w:rsidTr="007C3EBC">
        <w:tc>
          <w:tcPr>
            <w:tcW w:w="704" w:type="dxa"/>
          </w:tcPr>
          <w:p w:rsidR="00147B96" w:rsidRPr="00F76022" w:rsidRDefault="00147B96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D3D02" w:rsidRPr="00F76022" w:rsidRDefault="0023147C" w:rsidP="0023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</w:t>
            </w:r>
            <w:r w:rsidRPr="002314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курса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47B96" w:rsidRPr="00F76022" w:rsidRDefault="00D164C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829" w:type="dxa"/>
          </w:tcPr>
          <w:p w:rsidR="00147B96" w:rsidRPr="00F76022" w:rsidRDefault="00D164C1" w:rsidP="00D1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с учётом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кспертн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10-х классов</w:t>
            </w:r>
            <w:r w:rsidRPr="00E17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4C1" w:rsidTr="007C3EBC">
        <w:tc>
          <w:tcPr>
            <w:tcW w:w="704" w:type="dxa"/>
          </w:tcPr>
          <w:p w:rsidR="00D164C1" w:rsidRPr="00F76022" w:rsidRDefault="00D164C1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4C1" w:rsidRDefault="00D164C1" w:rsidP="00D16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методических рекомендаций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педагогов и учащихся.</w:t>
            </w:r>
          </w:p>
        </w:tc>
        <w:tc>
          <w:tcPr>
            <w:tcW w:w="2268" w:type="dxa"/>
          </w:tcPr>
          <w:p w:rsidR="00D164C1" w:rsidRDefault="00D164C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июнь</w:t>
            </w:r>
          </w:p>
        </w:tc>
        <w:tc>
          <w:tcPr>
            <w:tcW w:w="2829" w:type="dxa"/>
            <w:vMerge w:val="restart"/>
          </w:tcPr>
          <w:p w:rsidR="00D164C1" w:rsidRDefault="00D164C1" w:rsidP="00D164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компетенций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области проектной и исследовательской деятельности</w:t>
            </w:r>
          </w:p>
        </w:tc>
      </w:tr>
      <w:tr w:rsidR="00D164C1" w:rsidTr="007C3EBC">
        <w:tc>
          <w:tcPr>
            <w:tcW w:w="704" w:type="dxa"/>
          </w:tcPr>
          <w:p w:rsidR="00D164C1" w:rsidRPr="00F76022" w:rsidRDefault="00D164C1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4C1" w:rsidRPr="00F76022" w:rsidRDefault="00D164C1" w:rsidP="009D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учителями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лицея </w:t>
            </w:r>
          </w:p>
        </w:tc>
        <w:tc>
          <w:tcPr>
            <w:tcW w:w="2268" w:type="dxa"/>
          </w:tcPr>
          <w:p w:rsidR="00D164C1" w:rsidRPr="00F76022" w:rsidRDefault="00D164C1" w:rsidP="00D1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</w:t>
            </w:r>
          </w:p>
        </w:tc>
        <w:tc>
          <w:tcPr>
            <w:tcW w:w="2829" w:type="dxa"/>
            <w:vMerge/>
          </w:tcPr>
          <w:p w:rsidR="00D164C1" w:rsidRPr="00F76022" w:rsidRDefault="00D164C1" w:rsidP="00D1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C1" w:rsidTr="007C3EBC">
        <w:tc>
          <w:tcPr>
            <w:tcW w:w="704" w:type="dxa"/>
          </w:tcPr>
          <w:p w:rsidR="00D164C1" w:rsidRPr="00F76022" w:rsidRDefault="00D164C1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4C1" w:rsidRPr="00D164C1" w:rsidRDefault="00D164C1" w:rsidP="009D3D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индивидуальных консультаций для учителей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лицея</w:t>
            </w:r>
          </w:p>
        </w:tc>
        <w:tc>
          <w:tcPr>
            <w:tcW w:w="2268" w:type="dxa"/>
          </w:tcPr>
          <w:p w:rsidR="00D164C1" w:rsidRDefault="00D164C1" w:rsidP="00D1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  <w:vMerge/>
          </w:tcPr>
          <w:p w:rsidR="00D164C1" w:rsidRPr="00D164C1" w:rsidRDefault="00D164C1" w:rsidP="00D164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201C" w:rsidTr="00205A40">
        <w:tc>
          <w:tcPr>
            <w:tcW w:w="9345" w:type="dxa"/>
            <w:gridSpan w:val="4"/>
          </w:tcPr>
          <w:p w:rsidR="00E8201C" w:rsidRPr="00F76022" w:rsidRDefault="00E8201C" w:rsidP="00F7602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  <w:proofErr w:type="gramStart"/>
            <w:r w:rsidR="007359B0" w:rsidRPr="00F760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E17D87" w:rsidTr="007C3EBC">
        <w:tc>
          <w:tcPr>
            <w:tcW w:w="704" w:type="dxa"/>
          </w:tcPr>
          <w:p w:rsidR="00173F1D" w:rsidRPr="00F76022" w:rsidRDefault="00173F1D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3F1D" w:rsidRPr="00F76022" w:rsidRDefault="00D164C1" w:rsidP="00D1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сетевого партнерства на договорной основе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реализации преемственности ФГОС СОО и ВУЗов,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предприятий Северского района</w:t>
            </w:r>
          </w:p>
        </w:tc>
        <w:tc>
          <w:tcPr>
            <w:tcW w:w="2268" w:type="dxa"/>
          </w:tcPr>
          <w:p w:rsidR="00173F1D" w:rsidRPr="00F76022" w:rsidRDefault="00D164C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50278" w:rsidRPr="00750278" w:rsidRDefault="00D164C1" w:rsidP="008E00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Диссеминация опыта как возможность сотрудничества 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следствие, </w:t>
            </w:r>
            <w:proofErr w:type="spellStart"/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взимообучения</w:t>
            </w:r>
            <w:proofErr w:type="spellEnd"/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разв</w:t>
            </w:r>
            <w:r w:rsidR="0075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ития инновационной </w:t>
            </w:r>
            <w:r w:rsidR="00750278"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форме публикаций – методические разработки, публикации в периодических изданиях</w:t>
            </w:r>
          </w:p>
        </w:tc>
      </w:tr>
      <w:tr w:rsidR="00750278" w:rsidTr="007C3EBC">
        <w:tc>
          <w:tcPr>
            <w:tcW w:w="704" w:type="dxa"/>
          </w:tcPr>
          <w:p w:rsidR="00750278" w:rsidRPr="00F76022" w:rsidRDefault="00750278" w:rsidP="00F76022">
            <w:pPr>
              <w:pStyle w:val="a4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0278" w:rsidRPr="00F76022" w:rsidRDefault="00750278" w:rsidP="00F7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семинарах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750278" w:rsidRPr="00F76022" w:rsidRDefault="00750278" w:rsidP="00A9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50278" w:rsidRPr="00750278" w:rsidRDefault="00750278" w:rsidP="008E00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E00B7">
              <w:rPr>
                <w:rFonts w:ascii="Times New Roman" w:hAnsi="Times New Roman" w:cs="Times New Roman"/>
                <w:sz w:val="28"/>
                <w:szCs w:val="28"/>
              </w:rPr>
              <w:t xml:space="preserve">краевых </w:t>
            </w:r>
            <w:r w:rsidRPr="008E00B7">
              <w:rPr>
                <w:rFonts w:ascii="Times New Roman" w:hAnsi="Times New Roman" w:cs="Times New Roman"/>
                <w:sz w:val="28"/>
                <w:szCs w:val="28"/>
              </w:rPr>
              <w:t>семинарах по теме площадки</w:t>
            </w:r>
            <w:r w:rsidR="008E00B7" w:rsidRPr="008E0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022519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исследования, мониторинг, анализ  образовательной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F69">
        <w:rPr>
          <w:rFonts w:ascii="Times New Roman" w:hAnsi="Times New Roman" w:cs="Times New Roman"/>
          <w:i/>
          <w:sz w:val="28"/>
          <w:szCs w:val="28"/>
        </w:rPr>
        <w:t>Практическая</w:t>
      </w:r>
      <w:proofErr w:type="gramEnd"/>
      <w:r w:rsidRPr="00701F69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022519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F3" w:rsidRDefault="001722F3" w:rsidP="00701F69">
      <w:pPr>
        <w:spacing w:after="0" w:line="240" w:lineRule="auto"/>
      </w:pPr>
      <w:r>
        <w:separator/>
      </w:r>
    </w:p>
  </w:endnote>
  <w:endnote w:type="continuationSeparator" w:id="0">
    <w:p w:rsidR="001722F3" w:rsidRDefault="001722F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AD3AFC" w:rsidRDefault="008D10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AFC" w:rsidRDefault="00AD3A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F3" w:rsidRDefault="001722F3" w:rsidP="00701F69">
      <w:pPr>
        <w:spacing w:after="0" w:line="240" w:lineRule="auto"/>
      </w:pPr>
      <w:r>
        <w:separator/>
      </w:r>
    </w:p>
  </w:footnote>
  <w:footnote w:type="continuationSeparator" w:id="0">
    <w:p w:rsidR="001722F3" w:rsidRDefault="001722F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5A8"/>
    <w:multiLevelType w:val="hybridMultilevel"/>
    <w:tmpl w:val="F45E49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53B"/>
    <w:multiLevelType w:val="hybridMultilevel"/>
    <w:tmpl w:val="D028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5CF3"/>
    <w:multiLevelType w:val="hybridMultilevel"/>
    <w:tmpl w:val="382AF42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45232"/>
    <w:multiLevelType w:val="hybridMultilevel"/>
    <w:tmpl w:val="0982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E7F5F"/>
    <w:multiLevelType w:val="hybridMultilevel"/>
    <w:tmpl w:val="B476A4F4"/>
    <w:lvl w:ilvl="0" w:tplc="BBF0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225F"/>
    <w:multiLevelType w:val="hybridMultilevel"/>
    <w:tmpl w:val="A11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10CA9"/>
    <w:multiLevelType w:val="hybridMultilevel"/>
    <w:tmpl w:val="C8CC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A730D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202D48"/>
    <w:multiLevelType w:val="hybridMultilevel"/>
    <w:tmpl w:val="D1A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C2EB1"/>
    <w:multiLevelType w:val="hybridMultilevel"/>
    <w:tmpl w:val="D32CF094"/>
    <w:lvl w:ilvl="0" w:tplc="1520C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22519"/>
    <w:rsid w:val="000626EE"/>
    <w:rsid w:val="0009465E"/>
    <w:rsid w:val="000F5ADC"/>
    <w:rsid w:val="00110851"/>
    <w:rsid w:val="00125071"/>
    <w:rsid w:val="00147B96"/>
    <w:rsid w:val="001722F3"/>
    <w:rsid w:val="00173F1D"/>
    <w:rsid w:val="001E5AD0"/>
    <w:rsid w:val="001F2A1A"/>
    <w:rsid w:val="00205A40"/>
    <w:rsid w:val="00206020"/>
    <w:rsid w:val="0023147C"/>
    <w:rsid w:val="002510B6"/>
    <w:rsid w:val="002770AC"/>
    <w:rsid w:val="002817D0"/>
    <w:rsid w:val="002836EE"/>
    <w:rsid w:val="002B28FD"/>
    <w:rsid w:val="002B4986"/>
    <w:rsid w:val="002F1680"/>
    <w:rsid w:val="00315BFD"/>
    <w:rsid w:val="00337ACC"/>
    <w:rsid w:val="003838EC"/>
    <w:rsid w:val="003978E9"/>
    <w:rsid w:val="003B5ABC"/>
    <w:rsid w:val="00457E9B"/>
    <w:rsid w:val="004657AA"/>
    <w:rsid w:val="0047394B"/>
    <w:rsid w:val="004976F8"/>
    <w:rsid w:val="004B4BDC"/>
    <w:rsid w:val="004C268F"/>
    <w:rsid w:val="004E7EF6"/>
    <w:rsid w:val="0055049D"/>
    <w:rsid w:val="0055302E"/>
    <w:rsid w:val="005A0931"/>
    <w:rsid w:val="005E141C"/>
    <w:rsid w:val="006062AB"/>
    <w:rsid w:val="00634BAC"/>
    <w:rsid w:val="00650637"/>
    <w:rsid w:val="006525A8"/>
    <w:rsid w:val="00654572"/>
    <w:rsid w:val="00684E49"/>
    <w:rsid w:val="006924FB"/>
    <w:rsid w:val="00692AD9"/>
    <w:rsid w:val="006B25D4"/>
    <w:rsid w:val="006C0E39"/>
    <w:rsid w:val="00701F69"/>
    <w:rsid w:val="00731D8C"/>
    <w:rsid w:val="007359B0"/>
    <w:rsid w:val="00750278"/>
    <w:rsid w:val="0077480E"/>
    <w:rsid w:val="007A5818"/>
    <w:rsid w:val="007A6AE1"/>
    <w:rsid w:val="007B6971"/>
    <w:rsid w:val="007C3EBC"/>
    <w:rsid w:val="007F007E"/>
    <w:rsid w:val="007F30A5"/>
    <w:rsid w:val="00880EEF"/>
    <w:rsid w:val="00886CB7"/>
    <w:rsid w:val="008B3AA5"/>
    <w:rsid w:val="008C0104"/>
    <w:rsid w:val="008D10F7"/>
    <w:rsid w:val="008E00B7"/>
    <w:rsid w:val="0091303F"/>
    <w:rsid w:val="00985557"/>
    <w:rsid w:val="00986545"/>
    <w:rsid w:val="009C711D"/>
    <w:rsid w:val="009D3D02"/>
    <w:rsid w:val="009E33BE"/>
    <w:rsid w:val="00A56DA0"/>
    <w:rsid w:val="00A82F5F"/>
    <w:rsid w:val="00AD3AFC"/>
    <w:rsid w:val="00AF36E9"/>
    <w:rsid w:val="00B565A3"/>
    <w:rsid w:val="00B73B24"/>
    <w:rsid w:val="00B817C3"/>
    <w:rsid w:val="00BC04FA"/>
    <w:rsid w:val="00BD6A80"/>
    <w:rsid w:val="00C2619D"/>
    <w:rsid w:val="00C44717"/>
    <w:rsid w:val="00C473EC"/>
    <w:rsid w:val="00C9052E"/>
    <w:rsid w:val="00C934D8"/>
    <w:rsid w:val="00CC4B45"/>
    <w:rsid w:val="00CE2974"/>
    <w:rsid w:val="00CE349C"/>
    <w:rsid w:val="00CE4039"/>
    <w:rsid w:val="00D03541"/>
    <w:rsid w:val="00D164C1"/>
    <w:rsid w:val="00D25DB6"/>
    <w:rsid w:val="00D26888"/>
    <w:rsid w:val="00D94F21"/>
    <w:rsid w:val="00DC0A65"/>
    <w:rsid w:val="00E17D87"/>
    <w:rsid w:val="00E8201C"/>
    <w:rsid w:val="00EC4BDE"/>
    <w:rsid w:val="00EF2DD7"/>
    <w:rsid w:val="00F534CE"/>
    <w:rsid w:val="00F76022"/>
    <w:rsid w:val="00F902A7"/>
    <w:rsid w:val="00FD0383"/>
    <w:rsid w:val="00FD66D5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6062AB"/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C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47394B"/>
    <w:rPr>
      <w:b/>
      <w:bCs/>
    </w:rPr>
  </w:style>
  <w:style w:type="paragraph" w:styleId="aa">
    <w:name w:val="Body Text"/>
    <w:basedOn w:val="a"/>
    <w:link w:val="ab"/>
    <w:rsid w:val="004739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739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92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Елена</cp:lastModifiedBy>
  <cp:revision>8</cp:revision>
  <dcterms:created xsi:type="dcterms:W3CDTF">2017-02-26T07:39:00Z</dcterms:created>
  <dcterms:modified xsi:type="dcterms:W3CDTF">2017-02-26T16:31:00Z</dcterms:modified>
</cp:coreProperties>
</file>