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75" w:rsidRPr="00D17A47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Отчет по деятельности стажировочной площадки</w:t>
      </w:r>
    </w:p>
    <w:p w:rsidR="00BA5875" w:rsidRPr="00D17A47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ГБОУ ИРО Краснодарского края</w:t>
      </w:r>
    </w:p>
    <w:p w:rsidR="00BA5875" w:rsidRPr="00D17A47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BA5875" w:rsidRPr="00D17A47" w:rsidRDefault="00BA5875" w:rsidP="00BA5875">
      <w:pPr>
        <w:spacing w:after="0" w:line="240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BA5875" w:rsidRPr="00D17A47" w:rsidRDefault="00BA5875" w:rsidP="00BA5875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Название образовательной организации</w:t>
      </w:r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gramStart"/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>муниципального</w:t>
      </w:r>
      <w:proofErr w:type="gramEnd"/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 xml:space="preserve"> образования город Краснодар средняя общеобразовательная школа № 61</w:t>
      </w:r>
    </w:p>
    <w:p w:rsidR="00BA5875" w:rsidRPr="00D17A47" w:rsidRDefault="00BA5875" w:rsidP="00BA5875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Курирующая кафедра:</w:t>
      </w:r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01AA8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 xml:space="preserve">кафедра педагогики, </w:t>
      </w:r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>психологии</w:t>
      </w:r>
      <w:r w:rsidR="00B01AA8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 xml:space="preserve"> и </w:t>
      </w:r>
      <w:proofErr w:type="gramStart"/>
      <w:r w:rsidR="00B01AA8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>дополнительного</w:t>
      </w:r>
      <w:proofErr w:type="gramEnd"/>
      <w:r w:rsidR="00B01AA8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 xml:space="preserve"> образования</w:t>
      </w:r>
    </w:p>
    <w:p w:rsidR="00765E5D" w:rsidRPr="00D17A47" w:rsidRDefault="00BA5875" w:rsidP="00765E5D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Цель деят</w:t>
      </w:r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ельности </w:t>
      </w:r>
      <w:proofErr w:type="spellStart"/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стажировочной</w:t>
      </w:r>
      <w:proofErr w:type="spellEnd"/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площадки </w:t>
      </w:r>
      <w:r w:rsidR="00765E5D"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создание концептуальной модели социально-педагогического проектирования для школьников и ее реализация в образовательном пространстве МБОУ СОШ № 61</w:t>
      </w:r>
    </w:p>
    <w:p w:rsidR="00BA5875" w:rsidRPr="00D17A47" w:rsidRDefault="00BA5875" w:rsidP="00BA5875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Задачи деятельности </w:t>
      </w:r>
      <w:proofErr w:type="spellStart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стажировочной</w:t>
      </w:r>
      <w:proofErr w:type="spellEnd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65E5D"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площадки</w:t>
      </w:r>
    </w:p>
    <w:p w:rsidR="00A268F5" w:rsidRPr="00D17A47" w:rsidRDefault="00A268F5" w:rsidP="00A268F5">
      <w:pPr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- обосновать концептуальную модель духовно-нравственного воспитания школьников посредством социально-педагогического проектирования</w:t>
      </w:r>
    </w:p>
    <w:p w:rsidR="00A268F5" w:rsidRPr="00D17A47" w:rsidRDefault="00A268F5" w:rsidP="00A268F5">
      <w:pPr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- выявить педагогические условия духовно-н</w:t>
      </w:r>
      <w:r w:rsidRPr="00D17A47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  <w:u w:val="single"/>
        </w:rPr>
        <w:t>равственного воспитания школьника посредством социально-педагогического проектирования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.</w:t>
      </w:r>
    </w:p>
    <w:p w:rsidR="00A268F5" w:rsidRPr="00D17A47" w:rsidRDefault="00A268F5" w:rsidP="00A268F5">
      <w:pPr>
        <w:tabs>
          <w:tab w:val="right" w:pos="9356"/>
        </w:tabs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- разработать критерии и показатели духовно-нравственного </w:t>
      </w:r>
      <w:r w:rsidR="002C13D1"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культуры </w:t>
      </w: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школьников в контексте социально-педагогического проектирования.</w:t>
      </w:r>
    </w:p>
    <w:p w:rsidR="00BA5875" w:rsidRPr="00D17A47" w:rsidRDefault="00BA5875" w:rsidP="00BA5875">
      <w:pPr>
        <w:numPr>
          <w:ilvl w:val="0"/>
          <w:numId w:val="1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Анализ деятельности </w:t>
      </w:r>
      <w:proofErr w:type="spellStart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стажировочной</w:t>
      </w:r>
      <w:proofErr w:type="spellEnd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площадки повышения квалификации для слушателей курсов ГБОУ ИРО Краснодарского края по теме </w:t>
      </w:r>
      <w:r w:rsidR="00765E5D"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«Социально-педагогическое проектирование как средство </w:t>
      </w:r>
      <w:r w:rsidR="00A268F5"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духовно-</w:t>
      </w:r>
      <w:r w:rsidR="00765E5D"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нравственного воспитания школьников</w:t>
      </w: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>»</w:t>
      </w:r>
    </w:p>
    <w:p w:rsidR="00BA5875" w:rsidRPr="00D17A47" w:rsidRDefault="00BA5875" w:rsidP="00BA5875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color w:val="595959" w:themeColor="text1" w:themeTint="A6"/>
          <w:szCs w:val="28"/>
        </w:rPr>
      </w:pPr>
      <w:r w:rsidRPr="00D17A47">
        <w:rPr>
          <w:rFonts w:ascii="Times New Roman" w:eastAsia="Calibri" w:hAnsi="Times New Roman" w:cs="Times New Roman"/>
          <w:i/>
          <w:color w:val="595959" w:themeColor="text1" w:themeTint="A6"/>
          <w:szCs w:val="28"/>
        </w:rPr>
        <w:t>(с обязательным указанием ДПП ПК, мероприятий, проводимых в рамках деятельности СП, и количества участников, принимав</w:t>
      </w:r>
      <w:r w:rsidR="00A268F5" w:rsidRPr="00D17A47">
        <w:rPr>
          <w:rFonts w:ascii="Times New Roman" w:eastAsia="Calibri" w:hAnsi="Times New Roman" w:cs="Times New Roman"/>
          <w:i/>
          <w:color w:val="595959" w:themeColor="text1" w:themeTint="A6"/>
          <w:szCs w:val="28"/>
        </w:rPr>
        <w:t xml:space="preserve">ших участие в вышеуказанных ДПП </w:t>
      </w:r>
      <w:r w:rsidRPr="00D17A47">
        <w:rPr>
          <w:rFonts w:ascii="Times New Roman" w:eastAsia="Calibri" w:hAnsi="Times New Roman" w:cs="Times New Roman"/>
          <w:i/>
          <w:color w:val="595959" w:themeColor="text1" w:themeTint="A6"/>
          <w:szCs w:val="28"/>
        </w:rPr>
        <w:t>ПК/мероприятиях)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1) Соответствие задачам федеральной и региональной образовательной политики.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Приоритетной задачей ближайших десятилетий XXI века, в соответствии со «Стратегией развития воспитания в РФ на 2015-2025г.г.», является разработка и реализация стратегии развития воспитания детей как системы деятельности, ориентированной на качественно новый общественный статус социального института воспитания, обновление воспитательного процесса на основе оптимального сочетания отечественных педагогических традиций и культуры,  создание и укрепление новых механизмов воспитания.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Одной из базовых задач образовательной организации является формирование высоконравственной личности и гражданина России.</w:t>
      </w:r>
    </w:p>
    <w:p w:rsidR="005048F1" w:rsidRPr="00D17A47" w:rsidRDefault="005048F1" w:rsidP="005048F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Правовая основа стратегии развития воспитания базируется на положениях  Конституции Российской Федерации, которая провозглашает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права и свободы человека, гражданский мир и согласие,  исходит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справедливость.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Также «Стратегия развития воспитания» основывается на положениях инновационного развития нашей страны, которые изложены в Концепции социально-экономического развития Российской Федерации на период до 2020 г., опирается на основные идеи Стратегии государственной национальной политики Российской Федерации на период до 2025 года, которая утверждает упрочение общероссийского гражданского самосознания и духовной общности многонационального народа Российской Федерации (российской нации). </w:t>
      </w:r>
      <w:proofErr w:type="gramEnd"/>
    </w:p>
    <w:p w:rsidR="005048F1" w:rsidRPr="00D17A47" w:rsidRDefault="005048F1" w:rsidP="005048F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Содержание стратегии развития воспитания определяется в соответствии  с Федеральным законом «Об образовании в Российской Федерации»,  Указом Президента Российской Федерации «О национальной стратегии действий в интересах детей на 2012-2017 годы», Государственной  программой Российской Федерации «Развитие образования на 2013-2020 гг.»,  Государственной программой «Патриотическое воспитание граждан Российской Федерации на 2010-2015 гг.», в которых отражаются актуальные и перспективные задачи воспитания, в том числе  духовно-нравственного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развития подрастающего поколения и формирования культуры у молодежи в России.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Современные тенденции развития отечественного образования обусловили необходимость повышения качества новых подходов к обновлению ценностных оснований, его содержания и технологий.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 решение этой задачи был направлен проект «Разработка общей методологии, принципов, концептуальных основ, функций, структуры государственных образовательных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Федерации.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рамках данного проекта была разработана «Концепция фундаментального ядра содержания общего образования», включающая в себя три базовых компонента: базовые национальные ценности, основные элементы научного знания и универсальные учебные действия.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Система базовых национальных ценностей позволяет выделить основные результаты воспитания и включает в себя основные направления развития личности, отраженные в различных видах культур: личностной, социальной и семейной.</w:t>
      </w:r>
      <w:proofErr w:type="gramEnd"/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Личностная культура школьника направлена на формирование и развитие готовности и способности к полноценному выполнению различных видов собственной жизнедеятельности и «осознание ценности других людей (ближних),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противодействовать» (Фундаментальное ядро содержания общего образования, под ред. В.В.Козлова,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А.М.Кондакова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2-е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изд. – М.: Просвещение, 2010. – С. 9).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Актуальность данной проблемы возрастает в связи с переходом на Федеральный государственный образовательные стандарт основного общего образования.</w:t>
      </w:r>
      <w:proofErr w:type="gramEnd"/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Стандарты нового поколения ориентируют педагогов на воспитание, социальную и педагогическую поддержку становления и развития высоконравственного, ответственного, инициативного, компетентного гражданина России, способного к творческой инновационной деятельности.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любой стране, а в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России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особенно, духовные ценности и нравственные ориентации людей, в том числе и подрастающего поколения, во многом определяются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социокультурной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образовательно-воспитательной средой школы и в значительной степени зависит от духовно-нравственной культуры самих субъектов педагогического процесса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2)  Задачи отчетного периода.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Стратегические задачи: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1) создать условия для формирования у школьников бережного отношения к культурному наследию народов России, к истории и традициям Кубани; 2) определить моральные и нравственные принципы духовно-нравственной культуры для внедрения их  в образовательное пространство школы; 3) сохранить и приумножить нравственные, культурные и научные ценности образовательного пространства; 4) гармонично духовно развивать каждую личность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школьника, прививать ей основополагающие принципы нравственности;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5) продолжить формировать национальное самосознание, ответственное отношение к русскому языку как государственному и как средству межнационального общения, уважение к своей культуре и родному языку.</w:t>
      </w:r>
    </w:p>
    <w:p w:rsidR="005048F1" w:rsidRPr="00D17A47" w:rsidRDefault="005048F1" w:rsidP="00504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Тактические задачи: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1)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активизировать совместную просветительскую деятельность (сетевое взаимодействие) всех заинтересованных структур по формированию духовно-нравственной культуры школьника: обмен опытом, информацией и осуществление совместных проектов и др.; 2) достичь нового уровня отношений семьи, образовательных учреждений, органов управления образованием, культурой, детских и молодежных общественных организаций, религиозных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конфессий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духовно-нравственном воспитании и социализации детей и подростков;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3) создать условия для сохранения исторической преемственности поколений; развития национальной культуры, воспитания бережного отношения к историческому и культурному наследию народов России; 4) создавать условия для воспитания патриотов России, уважающих права и свободы личности, проявляющих национальную и религиозную терпимость;  развивать культуру межэтнических отношений; 5) способствовать изучению географии и истории своей страны, своего региона;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6) продолжить формирование у школьников представления о природных и исторических истоках национального своеобразия народов России.</w:t>
      </w:r>
    </w:p>
    <w:p w:rsidR="00A94049" w:rsidRPr="00D17A47" w:rsidRDefault="00A94049" w:rsidP="00A94049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Задачи второго (формирующего) этапа инновационного проекта:</w:t>
      </w:r>
    </w:p>
    <w:p w:rsidR="00A94049" w:rsidRPr="00D17A47" w:rsidRDefault="00A94049" w:rsidP="00A94049">
      <w:pPr>
        <w:tabs>
          <w:tab w:val="right" w:pos="9356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 xml:space="preserve">с января 2019 по декабрь 2019 гг. работа краевой </w:t>
      </w:r>
      <w:proofErr w:type="spellStart"/>
      <w:r w:rsidRPr="00D17A47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>стажировочной</w:t>
      </w:r>
      <w:proofErr w:type="spellEnd"/>
      <w:r w:rsidRPr="00D17A47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 xml:space="preserve"> площадки проходила в соответствии с задачами формирующего этапа: разработка и апробация </w:t>
      </w: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концептуальной модели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воспитания духовно-нравственной культуры школьников, </w:t>
      </w:r>
      <w:r w:rsidRPr="00D17A47">
        <w:rPr>
          <w:rFonts w:ascii="Times New Roman" w:eastAsiaTheme="minorEastAsia" w:hAnsi="Times New Roman" w:cs="Times New Roman"/>
          <w:color w:val="595959" w:themeColor="text1" w:themeTint="A6"/>
          <w:sz w:val="28"/>
          <w:szCs w:val="28"/>
        </w:rPr>
        <w:t>проверка оптимальности педагогических условий, обеспечивающих  эффективность реализуемой модели, проверка и уточнение гипотезы исследования, проведение формирующего эксперимента.</w:t>
      </w:r>
    </w:p>
    <w:p w:rsidR="00A94049" w:rsidRPr="00D17A47" w:rsidRDefault="00A94049" w:rsidP="00A940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3) Содержание инновационной деятельности за отчетный период.</w:t>
      </w:r>
    </w:p>
    <w:p w:rsidR="00A94049" w:rsidRPr="00D17A47" w:rsidRDefault="00A94049" w:rsidP="00A940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Инновационная деятельность за отчетный период была распределена по следующим видам:</w:t>
      </w:r>
    </w:p>
    <w:p w:rsidR="00A94049" w:rsidRPr="00D17A47" w:rsidRDefault="00A94049" w:rsidP="00A940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proofErr w:type="gramStart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val="en-US" w:eastAsia="ru-RU"/>
        </w:rPr>
        <w:t>I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.</w:t>
      </w:r>
      <w:proofErr w:type="gramEnd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Диагностическая деятельность:</w:t>
      </w:r>
    </w:p>
    <w:p w:rsidR="00A94049" w:rsidRPr="00D17A47" w:rsidRDefault="00A94049" w:rsidP="00A940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1.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Диагностика ресурсного обеспечения формирования духовно-нравственной культуры школьников в общеобразовательном учреждении (систематизация деятельности);  2.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Диагностика подготовленности субъектов образовательного процесса к взаимодействию по формированию духовно-нравственной культуры (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метакомпетентность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); 3.Диагностика образовательной и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инновационно-развивающей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деятельности участников педагогического процесса (формирование и развитие нравственных свойств и качеств).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</w:r>
    </w:p>
    <w:p w:rsidR="00A94049" w:rsidRPr="00D17A47" w:rsidRDefault="00A94049" w:rsidP="00A9404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Результаты диагностик опубликованы в методическом пособии: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Синицын Ю.Н., </w:t>
      </w:r>
      <w:proofErr w:type="spell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Жирма</w:t>
      </w:r>
      <w:proofErr w:type="spell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Е.Н., Хомутова Н.А.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>Формирование духовно-нравственной культуры школьника: диагностика, анализ результатов и перспективы развития инновационного проекта.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 Методическое пособие. </w:t>
      </w:r>
      <w:r w:rsidRPr="00D17A47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u w:val="single"/>
          <w:lang w:eastAsia="ru-RU"/>
        </w:rPr>
        <w:t xml:space="preserve">–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Краснодар: </w:t>
      </w: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Кубанский </w:t>
      </w:r>
      <w:proofErr w:type="spellStart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гос</w:t>
      </w:r>
      <w:proofErr w:type="spellEnd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. ун-т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, 2018. – 65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с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.</w:t>
      </w:r>
    </w:p>
    <w:p w:rsidR="00A94049" w:rsidRPr="00D17A47" w:rsidRDefault="00A94049" w:rsidP="00A94049">
      <w:pPr>
        <w:numPr>
          <w:ilvl w:val="0"/>
          <w:numId w:val="17"/>
        </w:numPr>
        <w:tabs>
          <w:tab w:val="left" w:pos="284"/>
          <w:tab w:val="left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val="en-US" w:eastAsia="ru-RU"/>
        </w:rPr>
        <w:t>II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. Теоретическая деятельность: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Были проведены, разработаны, определены: 1. Сравнительно-сопоставительный анализ проблемы исследования в теории и практике, где отражены ведущие тенденции развития данного направления в педагогической науке, методологические подходы, внешние и внутренние закономерности. 2. Исходные позиции, научный аппарат, общая гипотеза, методология исследования, концептуальная модель, педагогический инструментарий. 3. Система формирования духовно-нравственной культуры школьника посредством социально-педагогического проектирования. 4. Теоретико-методологические основы педагогической системы духовно-нравственной культуры школьника. 5. Концепция социально-педагогического проектирования для школьников формирования духовно-нравственной культуры школьника. 6. Модель формирования высоконравственной личности гражданина России посредством социально-педагогического проектирования. 7.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Компетентностно-функциональный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подход к формированию духовно-нравственной культуры школьника. 8. Педагогические (общие и специфические) условия формирования духовно-нравственной культуры школьника посредством социально-педагогического проектирования. 9. Информационно-функциональная структура процесса. 10. Сущность субъект – субъектных отношений в процессе формирования духовно-нравственной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культуры школьника посредством социально-педагогического проектирования. 11. Информационно-функциональное объяснение единства действий педагога и учащегося в процессе формирования духовно-нравственной культуры школьника посредством социально-педагогического проектирования. 12. Критерии и уровни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сформированности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компетентности по формированию духовно-нравственной культуры школьника</w:t>
      </w:r>
      <w:r w:rsidRPr="00D17A47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 педагогов и школьников посредством социально-педагогического проектирования. 13. Критерии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сформированности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духовно-нравственной культуры у школьника посредством социально-педагогического проектирования. </w:t>
      </w:r>
    </w:p>
    <w:p w:rsidR="00A94049" w:rsidRPr="00D17A47" w:rsidRDefault="00A94049" w:rsidP="00A940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Результаты теоретической деятельности опубликованы в методическом пособии:</w:t>
      </w:r>
      <w:r w:rsidRPr="00D17A47">
        <w:rPr>
          <w:rFonts w:eastAsia="Times New Roman"/>
          <w:color w:val="595959" w:themeColor="text1" w:themeTint="A6"/>
          <w:lang w:eastAsia="ru-RU"/>
        </w:rPr>
        <w:t xml:space="preserve">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Синицын Ю.Н., </w:t>
      </w:r>
      <w:proofErr w:type="spell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Жирма</w:t>
      </w:r>
      <w:proofErr w:type="spell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Е.Н., Хомутова Н.А.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Концепция формирования духовно-нравственной культуры у школьника.</w:t>
      </w:r>
      <w:r w:rsidRPr="00D17A47">
        <w:rPr>
          <w:rFonts w:eastAsia="Times New Roman"/>
          <w:color w:val="595959" w:themeColor="text1" w:themeTint="A6"/>
          <w:u w:val="single"/>
          <w:lang w:eastAsia="ru-RU"/>
        </w:rPr>
        <w:t xml:space="preserve">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Методическое пособие. </w:t>
      </w:r>
      <w:r w:rsidRPr="00D17A47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u w:val="single"/>
          <w:lang w:eastAsia="ru-RU"/>
        </w:rPr>
        <w:t xml:space="preserve">–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Краснодар: </w:t>
      </w: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Кубанский </w:t>
      </w:r>
      <w:proofErr w:type="spellStart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гос</w:t>
      </w:r>
      <w:proofErr w:type="spellEnd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. ун-т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, 2018. – 84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с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. </w:t>
      </w:r>
    </w:p>
    <w:p w:rsidR="00A94049" w:rsidRPr="00D17A47" w:rsidRDefault="00A94049" w:rsidP="00A94049">
      <w:pPr>
        <w:pStyle w:val="a3"/>
        <w:numPr>
          <w:ilvl w:val="0"/>
          <w:numId w:val="19"/>
        </w:num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Практическая деятельность:</w:t>
      </w:r>
    </w:p>
    <w:p w:rsidR="00A94049" w:rsidRPr="00D17A47" w:rsidRDefault="00A94049" w:rsidP="00A9404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1.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Опытно-экспериментальный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: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реализация принятых решений и программ социально-педагогического проектирования по формированию духовно-нравственной культуры школьника. </w:t>
      </w:r>
    </w:p>
    <w:p w:rsidR="00A94049" w:rsidRPr="00D17A47" w:rsidRDefault="00A94049" w:rsidP="00A9404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2.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Оценочно-контролирующий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1.Текущий и этапный контроль формирующего эксперимента. 2. Оценка промежуточных результатов проводимого исследования. </w:t>
      </w:r>
    </w:p>
    <w:p w:rsidR="00A94049" w:rsidRPr="00D17A47" w:rsidRDefault="00A94049" w:rsidP="00A9404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3.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Итогово-коррекционный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: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1. Проведение итогового среза. Интерпретация  полученных результатов. 2. Педагогическая коррекция духовно-нравственных и культурных ориентиров и установок. 3. Духовно-нравственное и культурное саморазвитие  и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саморегуляция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A94049" w:rsidRPr="00D17A47" w:rsidRDefault="00A94049" w:rsidP="00A94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2.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 Определены целевые установки деятельности на уровне учебных классов:</w:t>
      </w:r>
    </w:p>
    <w:p w:rsidR="00A94049" w:rsidRPr="00D17A47" w:rsidRDefault="00A94049" w:rsidP="00A940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I класс – развитие эмоциональной сферы как отзывчивости ко всему живому; II класс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– развитие гуманистических отношений; III класс – формирование ценностного отношения к культуре; IV класс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 xml:space="preserve">– развитие эмоционально-волевой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саморегуляции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культуры желаний; V класс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 xml:space="preserve">– воспитание нравственного самосознания на основе самооценки; воспитание ответственности; VI класс – воспитание нравственного самосознания ребенка в ситуациях выбора;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формирование нравственной позиции по отношению к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детям и взрослым другого пола, возраста, национальности; выработка объективной самооценки, самоограничения; VII класс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– приобщение к духовным ценностям своего Отечества, воспитание толерантности, развитие способности к ответственному поступку, самовоспитание; VIII класс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 xml:space="preserve">– развитие чувства гражданственности; формирование нравственной позиции по проблемам социальной жизни;  IX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класс –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развитие качеств, необходимых для делового человека: коммуникабельности, трудолюбия, организованности, самодисциплины;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X класс – формирование мировоззренческой позиции учащихся, необходимой для ориентации в мире; ответственности за нравственный выбор сре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дств дл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я достижения личных целей; XI класс – становление интеллектуальной творческой личности, способной к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самооценочной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рефлексии и эмоционально-волевой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саморегуляции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A94049" w:rsidRPr="00D17A47" w:rsidRDefault="00A94049" w:rsidP="00A94049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Естественно, что выделенные здесь идеи присутствуют и в предшествующих возрастных группах, подготавливая школьников к их более глубокому эмоциональному </w:t>
      </w:r>
      <w:proofErr w:type="spell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осознаванию</w:t>
      </w:r>
      <w:proofErr w:type="spell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присвоению именно в обозначенный, наиболее </w:t>
      </w:r>
      <w:proofErr w:type="spell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сензитивный</w:t>
      </w:r>
      <w:proofErr w:type="spell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период. </w:t>
      </w:r>
      <w:r w:rsidRPr="00D17A4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Шапошникова. - Н. Новгород: НГЦ. - 2001. - 432 с. - С. 82</w:t>
      </w:r>
    </w:p>
    <w:p w:rsidR="00A94049" w:rsidRPr="00D17A47" w:rsidRDefault="00A94049" w:rsidP="00A940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4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. Определена проблемная структура управления процессом формирования духовно-нравственной культуры учащихся посредством социально-педагогического проектирования:</w:t>
      </w:r>
    </w:p>
    <w:tbl>
      <w:tblPr>
        <w:tblStyle w:val="a4"/>
        <w:tblW w:w="0" w:type="auto"/>
        <w:tblLook w:val="04A0"/>
      </w:tblPr>
      <w:tblGrid>
        <w:gridCol w:w="2729"/>
        <w:gridCol w:w="2914"/>
        <w:gridCol w:w="3928"/>
      </w:tblGrid>
      <w:tr w:rsidR="00A94049" w:rsidRPr="00D17A47" w:rsidTr="00232CD1">
        <w:tc>
          <w:tcPr>
            <w:tcW w:w="2802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Педагогические кадры</w:t>
            </w:r>
          </w:p>
        </w:tc>
        <w:tc>
          <w:tcPr>
            <w:tcW w:w="2976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4076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Управление</w:t>
            </w:r>
          </w:p>
        </w:tc>
      </w:tr>
      <w:tr w:rsidR="00A94049" w:rsidRPr="00D17A47" w:rsidTr="00232CD1">
        <w:tc>
          <w:tcPr>
            <w:tcW w:w="2802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Кто учит? (проблема кадров)</w:t>
            </w:r>
          </w:p>
        </w:tc>
        <w:tc>
          <w:tcPr>
            <w:tcW w:w="2976" w:type="dxa"/>
          </w:tcPr>
          <w:p w:rsidR="00A94049" w:rsidRPr="00D17A47" w:rsidRDefault="00A94049" w:rsidP="00232CD1">
            <w:pPr>
              <w:tabs>
                <w:tab w:val="left" w:pos="902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Кто учится</w:t>
            </w:r>
            <w:proofErr w:type="gramStart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(проблема контингента)</w:t>
            </w:r>
          </w:p>
        </w:tc>
        <w:tc>
          <w:tcPr>
            <w:tcW w:w="4076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Кто управляет? (проблема структуры управления)</w:t>
            </w:r>
          </w:p>
        </w:tc>
      </w:tr>
      <w:tr w:rsidR="00A94049" w:rsidRPr="00D17A47" w:rsidTr="00232CD1">
        <w:tc>
          <w:tcPr>
            <w:tcW w:w="2802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Чему учат? (проблема содержания образования)</w:t>
            </w:r>
          </w:p>
        </w:tc>
        <w:tc>
          <w:tcPr>
            <w:tcW w:w="2976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Чему учатся? (проблема содержания образования по ступеням)</w:t>
            </w:r>
          </w:p>
        </w:tc>
        <w:tc>
          <w:tcPr>
            <w:tcW w:w="4076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Чем управляет? (проблема функционала)</w:t>
            </w:r>
          </w:p>
        </w:tc>
      </w:tr>
      <w:tr w:rsidR="00A94049" w:rsidRPr="00D17A47" w:rsidTr="00232CD1">
        <w:tc>
          <w:tcPr>
            <w:tcW w:w="2802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 учат? (проблема методик и технологий)</w:t>
            </w:r>
          </w:p>
        </w:tc>
        <w:tc>
          <w:tcPr>
            <w:tcW w:w="2976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 учатся? (проблема мотивации и результативности)</w:t>
            </w:r>
          </w:p>
        </w:tc>
        <w:tc>
          <w:tcPr>
            <w:tcW w:w="4076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Как управляет (проблема механизма управления)</w:t>
            </w:r>
          </w:p>
        </w:tc>
      </w:tr>
      <w:tr w:rsidR="00A94049" w:rsidRPr="00D17A47" w:rsidTr="00232CD1">
        <w:tc>
          <w:tcPr>
            <w:tcW w:w="2802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 помощи чего учат? (проблема методического, технического и финансового обеспечения)</w:t>
            </w:r>
          </w:p>
        </w:tc>
        <w:tc>
          <w:tcPr>
            <w:tcW w:w="2976" w:type="dxa"/>
          </w:tcPr>
          <w:p w:rsidR="00A94049" w:rsidRPr="00D17A47" w:rsidRDefault="00A94049" w:rsidP="00232CD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 каких условиях? (проблемы организационного, методического и технического обеспечения)</w:t>
            </w:r>
          </w:p>
        </w:tc>
        <w:tc>
          <w:tcPr>
            <w:tcW w:w="4076" w:type="dxa"/>
          </w:tcPr>
          <w:p w:rsidR="00A94049" w:rsidRPr="00D17A47" w:rsidRDefault="00A94049" w:rsidP="00232CD1">
            <w:pPr>
              <w:tabs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Посредством чего управлять?</w:t>
            </w:r>
          </w:p>
          <w:p w:rsidR="00A94049" w:rsidRPr="00D17A47" w:rsidRDefault="00A94049" w:rsidP="00232CD1">
            <w:pPr>
              <w:tabs>
                <w:tab w:val="left" w:pos="850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(проблемы соответствия кадровых, организационных, методических, финансовых, </w:t>
            </w:r>
            <w:proofErr w:type="spellStart"/>
            <w:proofErr w:type="gramStart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мотива-ционных</w:t>
            </w:r>
            <w:proofErr w:type="spellEnd"/>
            <w:proofErr w:type="gramEnd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 правовых условий предъявляемым требованиям)</w:t>
            </w:r>
          </w:p>
        </w:tc>
      </w:tr>
    </w:tbl>
    <w:p w:rsidR="00A94049" w:rsidRPr="00D17A47" w:rsidRDefault="00A94049" w:rsidP="00A9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A94049" w:rsidRPr="00D17A47" w:rsidRDefault="00A94049" w:rsidP="00A9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u w:val="single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5.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u w:val="single"/>
          <w:lang w:eastAsia="ru-RU"/>
        </w:rPr>
        <w:t>Для анализа состояния духовно-нравственной культуры школьника, результатов образования  составлена карта «Духовно-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u w:val="single"/>
          <w:lang w:eastAsia="ru-RU"/>
        </w:rPr>
        <w:lastRenderedPageBreak/>
        <w:t>нравственной культуры школьника как цель образования»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посредством социально-педагогического проектирования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u w:val="single"/>
          <w:lang w:eastAsia="ru-RU"/>
        </w:rPr>
        <w:t xml:space="preserve">:  </w:t>
      </w:r>
    </w:p>
    <w:p w:rsidR="00A94049" w:rsidRPr="00D17A47" w:rsidRDefault="00A94049" w:rsidP="00A94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32"/>
          <w:szCs w:val="32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3119"/>
        <w:gridCol w:w="2551"/>
        <w:gridCol w:w="2942"/>
      </w:tblGrid>
      <w:tr w:rsidR="00A94049" w:rsidRPr="00D17A47" w:rsidTr="00232CD1">
        <w:tc>
          <w:tcPr>
            <w:tcW w:w="1242" w:type="dxa"/>
            <w:vMerge w:val="restart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ностные</w:t>
            </w:r>
            <w:proofErr w:type="spellEnd"/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612" w:type="dxa"/>
            <w:gridSpan w:val="3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32"/>
                <w:szCs w:val="32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Критерии </w:t>
            </w:r>
          </w:p>
        </w:tc>
      </w:tr>
      <w:tr w:rsidR="00A94049" w:rsidRPr="00D17A47" w:rsidTr="00232CD1">
        <w:tc>
          <w:tcPr>
            <w:tcW w:w="1242" w:type="dxa"/>
            <w:vMerge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-3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о-</w:t>
            </w:r>
            <w:proofErr w:type="gramEnd"/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адаптивный</w:t>
            </w: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-3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(социальный)</w:t>
            </w:r>
          </w:p>
        </w:tc>
        <w:tc>
          <w:tcPr>
            <w:tcW w:w="2551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Эмоционально-волевой</w:t>
            </w: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32"/>
                <w:szCs w:val="32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(психический)</w:t>
            </w:r>
          </w:p>
        </w:tc>
        <w:tc>
          <w:tcPr>
            <w:tcW w:w="2942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32"/>
                <w:szCs w:val="32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Ценностно-смысловой (духовный)</w:t>
            </w:r>
          </w:p>
        </w:tc>
      </w:tr>
      <w:tr w:rsidR="00A94049" w:rsidRPr="00D17A47" w:rsidTr="00232CD1">
        <w:trPr>
          <w:cantSplit/>
          <w:trHeight w:val="1134"/>
        </w:trPr>
        <w:tc>
          <w:tcPr>
            <w:tcW w:w="1242" w:type="dxa"/>
            <w:textDirection w:val="btLr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3119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-3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культуры – глобальная функция;  частная культурная норма (культура поведения, деятельности, здоровья, мышления – локальная функция)</w:t>
            </w:r>
            <w:proofErr w:type="gramEnd"/>
          </w:p>
        </w:tc>
        <w:tc>
          <w:tcPr>
            <w:tcW w:w="2551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Сязь</w:t>
            </w:r>
            <w:proofErr w:type="spellEnd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рефлексии через ее эмоциональную сторону с духовной активностью субъекта (позитивное мировосприятие – жизнелюбие)</w:t>
            </w:r>
          </w:p>
        </w:tc>
        <w:tc>
          <w:tcPr>
            <w:tcW w:w="2942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32"/>
                <w:szCs w:val="32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Выбор и принятие ценностей, системы жизненных смыслов, выстраивание субъектного пространства саморазвития</w:t>
            </w:r>
          </w:p>
        </w:tc>
      </w:tr>
      <w:tr w:rsidR="00A94049" w:rsidRPr="00D17A47" w:rsidTr="00232CD1">
        <w:trPr>
          <w:cantSplit/>
          <w:trHeight w:val="1134"/>
        </w:trPr>
        <w:tc>
          <w:tcPr>
            <w:tcW w:w="1242" w:type="dxa"/>
            <w:textDirection w:val="btLr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3119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Ориентация на условия, позволяющие понимать и интерпретировать в своих интересах социальное пространство собственной жизни, жизненного пути и его перспектив</w:t>
            </w:r>
          </w:p>
        </w:tc>
        <w:tc>
          <w:tcPr>
            <w:tcW w:w="2551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Самоуправление поведением в соответствии с социальными нормами, правилами и законами</w:t>
            </w:r>
          </w:p>
        </w:tc>
        <w:tc>
          <w:tcPr>
            <w:tcW w:w="2942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32"/>
                <w:szCs w:val="32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Жизненное самоопределение через рефлексию </w:t>
            </w:r>
          </w:p>
        </w:tc>
      </w:tr>
      <w:tr w:rsidR="00A94049" w:rsidRPr="00D17A47" w:rsidTr="00232CD1">
        <w:trPr>
          <w:cantSplit/>
          <w:trHeight w:val="1134"/>
        </w:trPr>
        <w:tc>
          <w:tcPr>
            <w:tcW w:w="1242" w:type="dxa"/>
            <w:textDirection w:val="btLr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3119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Адаптация в </w:t>
            </w:r>
            <w:proofErr w:type="spellStart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общностях (семья, класс, временный детский коллектив)</w:t>
            </w:r>
          </w:p>
        </w:tc>
        <w:tc>
          <w:tcPr>
            <w:tcW w:w="2551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Критичность к себе, своей деятельности и ее результатам; </w:t>
            </w:r>
          </w:p>
        </w:tc>
        <w:tc>
          <w:tcPr>
            <w:tcW w:w="2942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32"/>
                <w:szCs w:val="32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Обращение знаний о закономерностях существования и изменения окружающей действительности и себя в способности изменение себя и окружающих объектов</w:t>
            </w:r>
          </w:p>
        </w:tc>
      </w:tr>
      <w:tr w:rsidR="00A94049" w:rsidRPr="00D17A47" w:rsidTr="00232CD1">
        <w:trPr>
          <w:cantSplit/>
          <w:trHeight w:val="1803"/>
        </w:trPr>
        <w:tc>
          <w:tcPr>
            <w:tcW w:w="1242" w:type="dxa"/>
            <w:textDirection w:val="btLr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Показатель  4</w:t>
            </w:r>
          </w:p>
        </w:tc>
        <w:tc>
          <w:tcPr>
            <w:tcW w:w="3119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Выработка индивидуального стиля поведения (деятельности);</w:t>
            </w:r>
          </w:p>
        </w:tc>
        <w:tc>
          <w:tcPr>
            <w:tcW w:w="2551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Эмо</w:t>
            </w: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softHyphen/>
              <w:t>циональная устойчивость (состояние спокойствия); свобода от тревоги и страхов</w:t>
            </w:r>
          </w:p>
        </w:tc>
        <w:tc>
          <w:tcPr>
            <w:tcW w:w="2942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32"/>
                <w:szCs w:val="32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Духовно-нравственное развитие и творческое саморазвитие</w:t>
            </w:r>
          </w:p>
        </w:tc>
      </w:tr>
      <w:tr w:rsidR="00A94049" w:rsidRPr="00D17A47" w:rsidTr="00232CD1">
        <w:trPr>
          <w:cantSplit/>
          <w:trHeight w:val="1971"/>
        </w:trPr>
        <w:tc>
          <w:tcPr>
            <w:tcW w:w="1242" w:type="dxa"/>
            <w:textDirection w:val="btLr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Показатель   5</w:t>
            </w:r>
          </w:p>
        </w:tc>
        <w:tc>
          <w:tcPr>
            <w:tcW w:w="3119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Овладение ведущими видами деятельности (игровой, учебной, трудовой)</w:t>
            </w:r>
          </w:p>
        </w:tc>
        <w:tc>
          <w:tcPr>
            <w:tcW w:w="2551" w:type="dxa"/>
          </w:tcPr>
          <w:p w:rsidR="00A94049" w:rsidRPr="00D17A47" w:rsidRDefault="00A94049" w:rsidP="00232CD1">
            <w:pPr>
              <w:keepNext/>
              <w:spacing w:after="160"/>
              <w:jc w:val="center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kern w:val="28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keepNext/>
              <w:spacing w:after="160"/>
              <w:jc w:val="center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kern w:val="28"/>
                <w:sz w:val="24"/>
                <w:szCs w:val="24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kern w:val="28"/>
                <w:sz w:val="24"/>
                <w:szCs w:val="24"/>
                <w:lang w:eastAsia="ru-RU"/>
              </w:rPr>
              <w:t>Проявление воли для изменения себя и окружающей действительности</w:t>
            </w:r>
          </w:p>
        </w:tc>
        <w:tc>
          <w:tcPr>
            <w:tcW w:w="2942" w:type="dxa"/>
          </w:tcPr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A94049" w:rsidRPr="00D17A47" w:rsidRDefault="00A94049" w:rsidP="00232CD1">
            <w:pPr>
              <w:tabs>
                <w:tab w:val="left" w:pos="426"/>
                <w:tab w:val="left" w:pos="851"/>
                <w:tab w:val="left" w:pos="9616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32"/>
                <w:szCs w:val="32"/>
                <w:lang w:eastAsia="ru-RU"/>
              </w:rPr>
            </w:pPr>
            <w:r w:rsidRPr="00D17A4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Ответственное отношение         к делу</w:t>
            </w:r>
          </w:p>
        </w:tc>
      </w:tr>
    </w:tbl>
    <w:p w:rsidR="00A94049" w:rsidRPr="00D17A47" w:rsidRDefault="00A94049" w:rsidP="00A94049">
      <w:pPr>
        <w:tabs>
          <w:tab w:val="left" w:pos="426"/>
          <w:tab w:val="left" w:pos="851"/>
          <w:tab w:val="left" w:pos="96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32"/>
          <w:lang w:eastAsia="ru-RU"/>
        </w:rPr>
      </w:pPr>
    </w:p>
    <w:p w:rsidR="00A94049" w:rsidRPr="00D17A47" w:rsidRDefault="00A94049" w:rsidP="00A94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Методическая деятельность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включает в себя: </w:t>
      </w:r>
    </w:p>
    <w:p w:rsidR="00A94049" w:rsidRPr="00D17A47" w:rsidRDefault="00A94049" w:rsidP="00A94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1. Постоянно действующие семинары по теме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стажировочной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площадки для педагогического коллектива, рабочей группы (материалы семинаров);  2. Мастер-классы по проблеме исследования (</w:t>
      </w:r>
      <w:proofErr w:type="spellStart"/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план-конспекты</w:t>
      </w:r>
      <w:proofErr w:type="spellEnd"/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мероприятий); 3. Консультации преподавателей ВУЗа для членов педагогического коллектива (график консультаций).</w:t>
      </w:r>
    </w:p>
    <w:p w:rsidR="00A94049" w:rsidRPr="00D17A47" w:rsidRDefault="00A94049" w:rsidP="00A940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Трансляционная деятельность: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A94049" w:rsidRPr="00D17A47" w:rsidRDefault="00A94049" w:rsidP="00A940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1.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 xml:space="preserve">Участие в конференциях по проблеме исследования: а) тезисы доклада: </w:t>
      </w: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Школа духовно-нравственной культуры // Вектор развития современной науки (том 2):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Материалы Международной (заочной) научно-практической конференции / под общ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ед. А.И.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Вострецова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– София: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Издателска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Къща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СОРоС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»,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Нефтекамск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РИО НИЦ «Мир науки», 2018. – 88 с. (С.49-54). Авторы: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Синицын Ю.Н., </w:t>
      </w:r>
      <w:proofErr w:type="spell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Жирма</w:t>
      </w:r>
      <w:proofErr w:type="spell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Е.Н., Хомутова Н.А.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; б) тезисы доклада: Культурная традиция этноса как средство формирования духовно-нравственной личности обучающегося// Актуальные вопросы и перспективы развития науки и образования (том 2): Материалы Международной (заочной) научно-практической конференции / под общ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ед. А.И.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Вострецова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– Минск: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Выдавецтва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Навуковы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свет»,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Нефтекамск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РИО НИЦ «Мир науки», 2018. – 80 с. (С.48-52). Автор: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Синицын Ю.Н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; в) тезисы доклада:</w:t>
      </w:r>
      <w:r w:rsidRPr="00D17A47">
        <w:rPr>
          <w:rFonts w:eastAsia="Times New Roman"/>
          <w:color w:val="595959" w:themeColor="text1" w:themeTint="A6"/>
          <w:lang w:eastAsia="ru-RU"/>
        </w:rPr>
        <w:t xml:space="preserve">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Формирование нравственных качеств у школьника в образовательной организации// Современные тенденции развития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наки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образования (том 8): Международной (заочной) научно-практической конференции / под общ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ед. А.И.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Вострецова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– Прага: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Vydavatel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Osviceni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»,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Нефтекамск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РИО НИЦ «Мир науки», 2018. – 88 с. (С.4-9). Авторы: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Синицын Ю.Н., Парамонова А.Г.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</w:r>
    </w:p>
    <w:p w:rsidR="002C13D1" w:rsidRPr="00D17A47" w:rsidRDefault="002C13D1" w:rsidP="002C1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</w:rPr>
        <w:t xml:space="preserve">        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Трансляционная деятельность: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 xml:space="preserve">Участие в конференциях по проблеме исследования: а) тезисы доклада: </w:t>
      </w: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Школа духовно-нравственной культуры // Вектор развития современной науки (том 2):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Материалы Международной (заочной) научно-практической конференции / под общ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ед. А.И.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Вострецова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– София: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Издателска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Къща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СОРоС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»,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Нефтекамск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РИО НИЦ «Мир науки», 2018. – 88 с. (С.49-54). Авторы: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Синицын Ю.Н., </w:t>
      </w:r>
      <w:proofErr w:type="spell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Жирма</w:t>
      </w:r>
      <w:proofErr w:type="spell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Е.Н., Хомутова Н.А.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; б) тезисы доклада: Культурная традиция этноса как средство формирования духовно-нравственной личности обучающегося// Актуальные вопросы и перспективы развития науки и образования (том 2): Материалы Международной (заочной) научно-практической конференции / под общ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ед. А.И.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Вострецова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– Минск: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Выдавецтва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Навуковы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свет»,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Нефтекамск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РИО НИЦ «Мир науки», 2018. – 80 с. (С.48-52). Автор: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Синицын Ю.Н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; в) тезисы доклада:</w:t>
      </w:r>
      <w:r w:rsidRPr="00D17A47">
        <w:rPr>
          <w:rFonts w:eastAsia="Times New Roman"/>
          <w:color w:val="595959" w:themeColor="text1" w:themeTint="A6"/>
          <w:lang w:eastAsia="ru-RU"/>
        </w:rPr>
        <w:t xml:space="preserve">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Формирование нравственных качеств у школьника в образовательной организации// Современные тенденции развития на</w:t>
      </w:r>
      <w:r w:rsidR="00C6270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ки и образования (том 8): Международной (заочной) научно-практической конференции / под общ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ед.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А.И.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Вострецова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– Прага: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Vydavatel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Osviceni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»,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Нефтекамск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РИО НИЦ «Мир науки», 2018. – 88 с. (С.4-9). Авторы: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Синицын Ю.Н., Парамонова А.Г.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Проведение семинара по теме: «Школа духовно-нравственной культуры: от идеи до технологии» (презентационный материал), педагоги школы 70 человек.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3. Семинар «Воспитательное пространство школы» для слушателей курсов заместителей директора по воспитательной работе, 25 человек.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4) </w:t>
      </w:r>
      <w:proofErr w:type="spellStart"/>
      <w:r w:rsidRPr="00D17A4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Инновационность</w:t>
      </w:r>
      <w:proofErr w:type="spellEnd"/>
      <w:r w:rsidRPr="00D17A4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.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Инновационность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включает в себя совокупность теоретических положений, выводов и рекомендаций, которые содержат решение проблемы, связанной с формированием духовно-нравственной культуры школьника</w:t>
      </w:r>
      <w:r w:rsidR="00A776DA"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посредством социально-педагогического проектирования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На концептуальном,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интеграционно-взаимодействующем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уровне будут раскрыты: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– 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теоретико-методологические основы педагогической системы духовно-нравственной культуры школьника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;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– 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модель формирования высоконравственной личности гражданина России,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описывающая процесс во взаимосвязанных  прогностическом, методологическом  и технологическом аспектах, и обеспечивающая возможности для учащихся овладевать познавательно-действенной компетентностью и способностями полноценно выполнять собственные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жизнедеятельностные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функции;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– </w:t>
      </w:r>
      <w:proofErr w:type="spellStart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компетентностно-функциональный</w:t>
      </w:r>
      <w:proofErr w:type="spellEnd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подход к формированию духовно-нравственной культуры школьника посредством социально-педагогического проектирования,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характерные особенности ситуации, адекватные природе человека, этого процесса и его сущностной задаче;</w:t>
      </w:r>
      <w:r w:rsidRPr="00D17A47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– 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критерии </w:t>
      </w:r>
      <w:proofErr w:type="spellStart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сформированности</w:t>
      </w:r>
      <w:proofErr w:type="spellEnd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духовно-нравственной культуры у школьника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(культурно-адаптивный (социальный), ценностно-смысловой (духовный), эмоционально-волевой (психический);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– 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системы показателей: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(а) свидетельствующих о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взаимосоответствии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интересов, ценностей, знаний и умений, способностей личности учащегося (критерии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интегрированности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структурных компонентов), (б) позитивно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оцениваемых педагогами, родителями и одноклассниками (специфические критерии).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5) Измерение и оценка качества инновации.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Измерение и оценка качества инновации были распределены  трем блокам и состоят из ряда методик, тестов, диагностик и др.: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1 блок </w:t>
      </w: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–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 начальная диагностика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–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состоит из трех направлений: 1)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инновационно-развивающая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среда школы по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формированию духовно-нравственной культуры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(ресурсное обеспечение образовательной организации) (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Н.М.Науменко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Ю.Н.Синицын); 2) </w:t>
      </w: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готовность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субъектов образовательного процесса к функциональному взаимодействию по формированию духовно-нравственной культуры (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метакомпетентность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 (Ю.Н.Синицын); 3) уровень </w:t>
      </w: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духовно-нравственного развития свойств и качеств  школьника (качественные характеристика учащихся) (В.А.Андреев); </w:t>
      </w:r>
      <w:proofErr w:type="gramEnd"/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</w:rPr>
        <w:t>2 блок – контрольный срез</w:t>
      </w: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– будет усилен </w:t>
      </w: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целевыми критериями и показателями:</w:t>
      </w:r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 целевым критериям отнесены: культурно-адаптивный (социальный), ценностно-смысловой (духовный), эмоциональной волево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й(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психический) критерий.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D17A47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3 блок – итоговая диагностика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– будет повторять  начальную диагностику с учетом целевых критерий и показателей посредством диагностического инструментария: карточка «Духовно-нравственное развитие ученика» (А.Д.Андреев), </w:t>
      </w:r>
      <w:r w:rsidRPr="00D17A47">
        <w:rPr>
          <w:rFonts w:ascii="Times New Roman" w:eastAsia="Calibri" w:hAnsi="Times New Roman" w:cs="Times New Roman"/>
          <w:iCs/>
          <w:color w:val="595959" w:themeColor="text1" w:themeTint="A6"/>
          <w:sz w:val="28"/>
          <w:szCs w:val="28"/>
        </w:rPr>
        <w:t>тесты на</w:t>
      </w:r>
      <w:r w:rsidRPr="00D17A47">
        <w:rPr>
          <w:rFonts w:ascii="Times New Roman" w:eastAsia="Calibri" w:hAnsi="Times New Roman" w:cs="Times New Roman"/>
          <w:i/>
          <w:iCs/>
          <w:color w:val="595959" w:themeColor="text1" w:themeTint="A6"/>
          <w:sz w:val="28"/>
          <w:szCs w:val="28"/>
        </w:rPr>
        <w:t xml:space="preserve"> </w:t>
      </w:r>
      <w:r w:rsidRPr="00D17A47">
        <w:rPr>
          <w:rFonts w:ascii="Times New Roman" w:eastAsia="Calibri" w:hAnsi="Times New Roman" w:cs="Times New Roman"/>
          <w:iCs/>
          <w:color w:val="595959" w:themeColor="text1" w:themeTint="A6"/>
          <w:sz w:val="28"/>
          <w:szCs w:val="28"/>
        </w:rPr>
        <w:t>определение типа нравственной ориентации личности,  на самооценку нравственной культуры педагога, на определение коэффициента комфортности самочувствия педагога и учащихся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(В.И.Андреев), диагностическая карта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сформированности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качеств учащихся, обеспечивающих нравственное поведение (начальные классы, среднее звено, старшеклассники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) (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Ю.Н.Синицын),</w:t>
      </w:r>
      <w:r w:rsidRPr="00D17A47">
        <w:rPr>
          <w:rFonts w:ascii="Times New Roman" w:eastAsia="Calibri" w:hAnsi="Times New Roman" w:cs="Times New Roman"/>
          <w:iCs/>
          <w:color w:val="595959" w:themeColor="text1" w:themeTint="A6"/>
          <w:sz w:val="28"/>
          <w:szCs w:val="28"/>
        </w:rPr>
        <w:t xml:space="preserve"> </w:t>
      </w:r>
      <w:proofErr w:type="spellStart"/>
      <w:r w:rsidRPr="00D17A47">
        <w:rPr>
          <w:rFonts w:ascii="Times New Roman" w:eastAsia="Calibri" w:hAnsi="Times New Roman" w:cs="Times New Roman"/>
          <w:iCs/>
          <w:color w:val="595959" w:themeColor="text1" w:themeTint="A6"/>
          <w:sz w:val="28"/>
          <w:szCs w:val="28"/>
        </w:rPr>
        <w:t>диагностико-эвристическая</w:t>
      </w:r>
      <w:proofErr w:type="spellEnd"/>
      <w:r w:rsidRPr="00D17A47">
        <w:rPr>
          <w:rFonts w:ascii="Times New Roman" w:eastAsia="Calibri" w:hAnsi="Times New Roman" w:cs="Times New Roman"/>
          <w:iCs/>
          <w:color w:val="595959" w:themeColor="text1" w:themeTint="A6"/>
          <w:sz w:val="28"/>
          <w:szCs w:val="28"/>
        </w:rPr>
        <w:t xml:space="preserve"> игра «Семь дней для нравственного саморазвития» (Идея этой игры заимствована у И.И. </w:t>
      </w:r>
      <w:proofErr w:type="spellStart"/>
      <w:r w:rsidRPr="00D17A47">
        <w:rPr>
          <w:rFonts w:ascii="Times New Roman" w:eastAsia="Calibri" w:hAnsi="Times New Roman" w:cs="Times New Roman"/>
          <w:iCs/>
          <w:color w:val="595959" w:themeColor="text1" w:themeTint="A6"/>
          <w:sz w:val="28"/>
          <w:szCs w:val="28"/>
        </w:rPr>
        <w:t>Новоселовой</w:t>
      </w:r>
      <w:proofErr w:type="spellEnd"/>
      <w:r w:rsidRPr="00D17A47">
        <w:rPr>
          <w:rFonts w:ascii="Times New Roman" w:eastAsia="Calibri" w:hAnsi="Times New Roman" w:cs="Times New Roman"/>
          <w:iCs/>
          <w:color w:val="595959" w:themeColor="text1" w:themeTint="A6"/>
          <w:sz w:val="28"/>
          <w:szCs w:val="28"/>
        </w:rPr>
        <w:t xml:space="preserve">), тесты на определение коэффициента комфортности самочувствия учащихся, на оценку уровня интеллигентности личности, тест на оценку уровня конфликтности личности, тест на самооценку </w:t>
      </w:r>
      <w:proofErr w:type="spellStart"/>
      <w:r w:rsidRPr="00D17A47">
        <w:rPr>
          <w:rFonts w:ascii="Times New Roman" w:eastAsia="Calibri" w:hAnsi="Times New Roman" w:cs="Times New Roman"/>
          <w:iCs/>
          <w:color w:val="595959" w:themeColor="text1" w:themeTint="A6"/>
          <w:sz w:val="28"/>
          <w:szCs w:val="28"/>
        </w:rPr>
        <w:t>стрессоустойчивости</w:t>
      </w:r>
      <w:proofErr w:type="spellEnd"/>
      <w:r w:rsidRPr="00D17A47">
        <w:rPr>
          <w:rFonts w:ascii="Times New Roman" w:eastAsia="Calibri" w:hAnsi="Times New Roman" w:cs="Times New Roman"/>
          <w:iCs/>
          <w:color w:val="595959" w:themeColor="text1" w:themeTint="A6"/>
          <w:sz w:val="28"/>
          <w:szCs w:val="28"/>
        </w:rPr>
        <w:t xml:space="preserve"> личности, на самооценку качества личной жизни (или чего вам не хватает для полного счастья?)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(В.И.Андреев), методика оценки  уровней  школьной мотивации  Н.Г.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Лускановой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диагностика эмоционального отношения к учению: познавательная активность, тревожность, негативные эмоциональные переживания   (Модификация теста Ч.Д.Спилберга А.Д.Андреевой), шкала оценки уровня реактивной и личностной тревожности Ч.Д.Спилберга и Ю.Л.Ханина, методика оценки условий для формирования духовно-нравственной культуры школьника, анкета для родителей «Обеспечение духовно-нравственной культуры».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Анкета для ученика «Мое поведение». 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Диагностическая карта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сформированности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духовно-нравственной культуры у обучающихся, анкета готовности к формированию духовно-нравственной культуры у школьников (для учителей) (Ю.Н.Синицын). </w:t>
      </w:r>
      <w:proofErr w:type="gramEnd"/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6) Организация сетевого взаимодействия. </w:t>
      </w: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Организация сетевого взаимодействия производилась по направлениям: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– обмен и распространение инновационного опыта среди общеобразовательных организаций </w:t>
      </w:r>
      <w:proofErr w:type="gramStart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г</w:t>
      </w:r>
      <w:proofErr w:type="gramEnd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. Краснодара и Краснодарского края;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– формирование практики инновационной деятельности в системе реализуемых программ по духовно-нравственному развитию учащихся;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– внедрение и реализация содержания образовательных продуктов в деятельность общеобразовательных организаций.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Заключены договора о сетевом взаимодействии и сотрудничестве: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– ФГБОУ </w:t>
      </w:r>
      <w:proofErr w:type="gramStart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ВО</w:t>
      </w:r>
      <w:proofErr w:type="gramEnd"/>
      <w:r w:rsidRPr="00D17A4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«Кубанский государственный университет», кафедра психологии и педагогики, технологии и предпринимательства;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7) Апробация и диссеминация результатов деятельности</w:t>
      </w:r>
      <w:r w:rsidR="00C6270A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C6270A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стажировочной</w:t>
      </w:r>
      <w:proofErr w:type="spellEnd"/>
      <w:r w:rsidR="00C6270A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площадки</w:t>
      </w:r>
      <w:r w:rsidRPr="00D17A47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Результаты деятельности КИП были опубликованы и представлены: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1)  в  двух методических пособиях и одном практическом руководстве: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Синицын Ю.Н., </w:t>
      </w:r>
      <w:proofErr w:type="spell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Жирма</w:t>
      </w:r>
      <w:proofErr w:type="spell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Е.Н., Хомутова Н.А. Школа духовно-нравственной культуры: от идеи до технологии / Под общ</w:t>
      </w:r>
      <w:proofErr w:type="gram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</w:t>
      </w:r>
      <w:proofErr w:type="gram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ед.  Ю.Н.Синицына. – Краснодар: Изд-во «</w:t>
      </w:r>
      <w:proofErr w:type="spell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Экоинвест</w:t>
      </w:r>
      <w:proofErr w:type="spell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», 2018. – 48 с.;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2)   на трех Международных научно – практических конференциях: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Школа духовно-нравственной культуры // Вектор развития современной науки (том 2):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Материалы Международной (заочной) научно-практической конференции / под общ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ед. А.И.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Вострецова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– София: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Издателска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Къща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«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СОРоС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»,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Нефтекамск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РИО НИЦ «Мир науки», 2018. – 88 с. (С.49-54). Авторы: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Синицын Ю.Н., </w:t>
      </w:r>
      <w:proofErr w:type="spellStart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Жирма</w:t>
      </w:r>
      <w:proofErr w:type="spellEnd"/>
      <w:r w:rsidRPr="00D17A47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Е.Н., Хомутова Н.А.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;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Культурная традиция этноса как средство формирования духовно-нравственной личности обучающегося// Актуальные вопросы и перспективы развития науки и образования (том 2): Материалы Международной (заочной) научно-практической конференции / под общ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ед. А.И.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Вострецова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– Минск: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Выдавецтва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Навуковы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свет»,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Нефтекамск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РИО НИЦ «Мир науки», 2018. – 80 с. (С.48-52). Автор: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Синицын Ю.Н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;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Формирование нравственных качеств у школьника в образовательной организации// Современные тенденции развития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наки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образования (том 8): Международной (заочной) научно-практической конференции / под общ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ед. А.И.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Вострецова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– Прага: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Vydavatel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Osviceni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»,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Нефтекамск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РИО НИЦ «Мир науки», 2018. – 88 с. (С.4-9). Авторы: 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Синицын Ю.Н., Парамонова А.Г.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Результаты исследования могут быть использованы в решениях ряда проблем: развития образовательных систем в различных направлениях педагогического знания, функционального взаимодействия субъектов образовательного процесса, разработки технологий проектирования </w:t>
      </w:r>
      <w:proofErr w:type="spell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инновационно-развивающих</w:t>
      </w:r>
      <w:proofErr w:type="spell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пространств.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Теоретические положения концепции формирования духовно-нравственной культуры школьника </w:t>
      </w:r>
      <w:r w:rsidR="00A776DA"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посредством социально-педагогического проектирования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могут быть использованы при создании и корректировке программ, быть основой для формирования духовно и нравственно здоровой личности в педагогическом процессе любого образовательного учреждения.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Модель формирования высоконравственной личности и гражданина России и ее компоненты могут быть внедрены в практику работы образовательных организаций  Краснодарского края, как и разработанные </w:t>
      </w:r>
      <w:proofErr w:type="gramStart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программы</w:t>
      </w:r>
      <w:proofErr w:type="gramEnd"/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и учебные курсы по проблеме исследования.</w:t>
      </w:r>
    </w:p>
    <w:p w:rsidR="002C13D1" w:rsidRPr="00D17A47" w:rsidRDefault="002C13D1" w:rsidP="002C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pacing w:val="-6"/>
          <w:sz w:val="28"/>
          <w:szCs w:val="28"/>
          <w:lang w:eastAsia="ru-RU"/>
        </w:rPr>
        <w:t xml:space="preserve">Разработанные технологии, методики, программы 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pacing w:val="-5"/>
          <w:sz w:val="28"/>
          <w:szCs w:val="28"/>
          <w:lang w:eastAsia="ru-RU"/>
        </w:rPr>
        <w:t>позволят обеспечить:</w:t>
      </w:r>
    </w:p>
    <w:p w:rsidR="002C13D1" w:rsidRPr="00D17A47" w:rsidRDefault="002C13D1" w:rsidP="002C13D1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– согласованность действий по формированию духовно-нравственной культуры школьника в образовательном процессе на уров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</w:r>
      <w:r w:rsidRPr="00D17A47">
        <w:rPr>
          <w:rFonts w:ascii="Times New Roman" w:eastAsia="Times New Roman" w:hAnsi="Times New Roman" w:cs="Times New Roman"/>
          <w:color w:val="595959" w:themeColor="text1" w:themeTint="A6"/>
          <w:spacing w:val="-3"/>
          <w:sz w:val="28"/>
          <w:szCs w:val="28"/>
          <w:lang w:eastAsia="ru-RU"/>
        </w:rPr>
        <w:t>не проводимых различных форм внеурочной деятельности,  внешкольных мероприятий и по месту жительства;</w:t>
      </w:r>
    </w:p>
    <w:p w:rsidR="002C13D1" w:rsidRPr="00D17A47" w:rsidRDefault="002C13D1" w:rsidP="002C13D1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pacing w:val="-5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– осуществление преемственности в формировании духовно-нравственной культуры школьника, повышение  педагогической компетентности</w:t>
      </w:r>
      <w:r w:rsidRPr="00D17A47">
        <w:rPr>
          <w:rFonts w:ascii="Times New Roman" w:eastAsia="Times New Roman" w:hAnsi="Times New Roman" w:cs="Times New Roman"/>
          <w:color w:val="595959" w:themeColor="text1" w:themeTint="A6"/>
          <w:spacing w:val="-5"/>
          <w:sz w:val="28"/>
          <w:szCs w:val="28"/>
          <w:lang w:eastAsia="ru-RU"/>
        </w:rPr>
        <w:t xml:space="preserve">; </w:t>
      </w:r>
    </w:p>
    <w:p w:rsidR="00BA5875" w:rsidRPr="00B01AA8" w:rsidRDefault="002C13D1" w:rsidP="00B01AA8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17A4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– формирование коммуникации, основанной на конъюнктивном отношении в системе «ученик-учитель-родитель» как одного из основных условий эффективной инновационной деятельности образовательного учреждения.</w:t>
      </w:r>
    </w:p>
    <w:p w:rsidR="00D03FAC" w:rsidRPr="00B01AA8" w:rsidRDefault="00B01AA8" w:rsidP="00B01AA8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01AA8">
        <w:rPr>
          <w:rFonts w:ascii="Arial" w:eastAsia="Times New Roman" w:hAnsi="Arial" w:cs="Arial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5372626" cy="1362075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18" cy="136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FAC" w:rsidRPr="00B01AA8" w:rsidSect="00B01AA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24DFA"/>
    <w:multiLevelType w:val="hybridMultilevel"/>
    <w:tmpl w:val="CF1848EC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A257B"/>
    <w:multiLevelType w:val="hybridMultilevel"/>
    <w:tmpl w:val="3AFAD954"/>
    <w:lvl w:ilvl="0" w:tplc="E8E8B402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A3"/>
    <w:rsid w:val="0000205E"/>
    <w:rsid w:val="000E0680"/>
    <w:rsid w:val="00127A43"/>
    <w:rsid w:val="00141335"/>
    <w:rsid w:val="001643CF"/>
    <w:rsid w:val="00175117"/>
    <w:rsid w:val="0017639B"/>
    <w:rsid w:val="001A3923"/>
    <w:rsid w:val="001E4CC6"/>
    <w:rsid w:val="0023081D"/>
    <w:rsid w:val="002502A9"/>
    <w:rsid w:val="002C13D1"/>
    <w:rsid w:val="002F26FB"/>
    <w:rsid w:val="00313AB0"/>
    <w:rsid w:val="003F0D81"/>
    <w:rsid w:val="005048F1"/>
    <w:rsid w:val="00581F35"/>
    <w:rsid w:val="005D2DD1"/>
    <w:rsid w:val="006304A3"/>
    <w:rsid w:val="006310F7"/>
    <w:rsid w:val="00645B0C"/>
    <w:rsid w:val="00661BBE"/>
    <w:rsid w:val="006C2A0C"/>
    <w:rsid w:val="00764D27"/>
    <w:rsid w:val="00765E5D"/>
    <w:rsid w:val="00780A8E"/>
    <w:rsid w:val="00824FE7"/>
    <w:rsid w:val="008C6F17"/>
    <w:rsid w:val="008D103F"/>
    <w:rsid w:val="008F59F8"/>
    <w:rsid w:val="00925EE7"/>
    <w:rsid w:val="0097796A"/>
    <w:rsid w:val="009D0096"/>
    <w:rsid w:val="009D14A7"/>
    <w:rsid w:val="00A268F5"/>
    <w:rsid w:val="00A776DA"/>
    <w:rsid w:val="00A94049"/>
    <w:rsid w:val="00AD37D8"/>
    <w:rsid w:val="00AD5609"/>
    <w:rsid w:val="00B01AA8"/>
    <w:rsid w:val="00B32A93"/>
    <w:rsid w:val="00B570E1"/>
    <w:rsid w:val="00B80801"/>
    <w:rsid w:val="00BA5875"/>
    <w:rsid w:val="00BE536D"/>
    <w:rsid w:val="00BF06DB"/>
    <w:rsid w:val="00BF772A"/>
    <w:rsid w:val="00C014D4"/>
    <w:rsid w:val="00C6270A"/>
    <w:rsid w:val="00CA558E"/>
    <w:rsid w:val="00CD3B52"/>
    <w:rsid w:val="00D03FAC"/>
    <w:rsid w:val="00D17A47"/>
    <w:rsid w:val="00D3379B"/>
    <w:rsid w:val="00D83AAF"/>
    <w:rsid w:val="00D9119E"/>
    <w:rsid w:val="00E83776"/>
    <w:rsid w:val="00E9545C"/>
    <w:rsid w:val="00FD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ladygets_v_v</dc:creator>
  <cp:lastModifiedBy>Валентина</cp:lastModifiedBy>
  <cp:revision>4</cp:revision>
  <cp:lastPrinted>2015-08-31T12:00:00Z</cp:lastPrinted>
  <dcterms:created xsi:type="dcterms:W3CDTF">2019-10-07T16:54:00Z</dcterms:created>
  <dcterms:modified xsi:type="dcterms:W3CDTF">2019-10-10T10:17:00Z</dcterms:modified>
</cp:coreProperties>
</file>