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  <w:r w:rsidRPr="00DD500C">
        <w:rPr>
          <w:rFonts w:eastAsia="Times New Roman" w:cs="Helvetica"/>
          <w:bCs/>
          <w:color w:val="333333"/>
          <w:sz w:val="28"/>
          <w:szCs w:val="28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DD500C">
        <w:rPr>
          <w:rFonts w:eastAsia="Times New Roman" w:cs="Helvetica"/>
          <w:bCs/>
          <w:color w:val="333333"/>
          <w:sz w:val="28"/>
          <w:szCs w:val="28"/>
        </w:rPr>
        <w:t>Кореновский</w:t>
      </w:r>
      <w:proofErr w:type="spellEnd"/>
      <w:r w:rsidRPr="00DD500C">
        <w:rPr>
          <w:rFonts w:eastAsia="Times New Roman" w:cs="Helvetica"/>
          <w:bCs/>
          <w:color w:val="333333"/>
          <w:sz w:val="28"/>
          <w:szCs w:val="28"/>
        </w:rPr>
        <w:t xml:space="preserve"> политехнический техникум»</w:t>
      </w: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Pr="00DD500C" w:rsidRDefault="00DD500C" w:rsidP="00DD500C">
      <w:pPr>
        <w:jc w:val="center"/>
        <w:rPr>
          <w:rFonts w:eastAsia="Times New Roman" w:cs="Helvetica"/>
          <w:b/>
          <w:bCs/>
          <w:color w:val="333333"/>
          <w:sz w:val="44"/>
          <w:szCs w:val="44"/>
        </w:rPr>
      </w:pPr>
      <w:r w:rsidRPr="00DD500C">
        <w:rPr>
          <w:rFonts w:eastAsia="Times New Roman" w:cs="Helvetica"/>
          <w:b/>
          <w:bCs/>
          <w:color w:val="333333"/>
          <w:sz w:val="44"/>
          <w:szCs w:val="44"/>
        </w:rPr>
        <w:t>Конспект урока по баскетболу</w:t>
      </w: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right"/>
        <w:rPr>
          <w:rFonts w:eastAsia="Times New Roman" w:cs="Helvetica"/>
          <w:bCs/>
          <w:color w:val="333333"/>
          <w:sz w:val="28"/>
          <w:szCs w:val="28"/>
        </w:rPr>
      </w:pPr>
      <w:r>
        <w:rPr>
          <w:rFonts w:eastAsia="Times New Roman" w:cs="Helvetica"/>
          <w:bCs/>
          <w:color w:val="333333"/>
          <w:sz w:val="28"/>
          <w:szCs w:val="28"/>
        </w:rPr>
        <w:t>Составил: преподаватель физической культуры</w:t>
      </w:r>
    </w:p>
    <w:p w:rsidR="00DD500C" w:rsidRDefault="00DD500C" w:rsidP="00DD500C">
      <w:pPr>
        <w:jc w:val="right"/>
        <w:rPr>
          <w:rFonts w:eastAsia="Times New Roman" w:cs="Helvetica"/>
          <w:bCs/>
          <w:color w:val="333333"/>
          <w:sz w:val="28"/>
          <w:szCs w:val="28"/>
        </w:rPr>
      </w:pPr>
      <w:r>
        <w:rPr>
          <w:rFonts w:eastAsia="Times New Roman" w:cs="Helvetica"/>
          <w:bCs/>
          <w:color w:val="333333"/>
          <w:sz w:val="28"/>
          <w:szCs w:val="28"/>
        </w:rPr>
        <w:t>Авдеенко Наталья Александровна</w:t>
      </w: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  <w:bookmarkStart w:id="0" w:name="_GoBack"/>
      <w:bookmarkEnd w:id="0"/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</w:p>
    <w:p w:rsidR="00DD500C" w:rsidRDefault="00DD500C" w:rsidP="00DD500C">
      <w:pPr>
        <w:jc w:val="center"/>
        <w:rPr>
          <w:rFonts w:eastAsia="Times New Roman" w:cs="Helvetica"/>
          <w:bCs/>
          <w:color w:val="333333"/>
          <w:sz w:val="28"/>
          <w:szCs w:val="28"/>
        </w:rPr>
      </w:pPr>
      <w:r>
        <w:rPr>
          <w:rFonts w:eastAsia="Times New Roman" w:cs="Helvetica"/>
          <w:bCs/>
          <w:color w:val="333333"/>
          <w:sz w:val="28"/>
          <w:szCs w:val="28"/>
        </w:rPr>
        <w:t>2017</w:t>
      </w:r>
    </w:p>
    <w:p w:rsidR="00DD500C" w:rsidRPr="00DD500C" w:rsidRDefault="00DD500C" w:rsidP="00DD500C">
      <w:pPr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</w:rPr>
      </w:pPr>
      <w:r w:rsidRPr="00DD500C">
        <w:rPr>
          <w:rFonts w:ascii="Helvetica" w:eastAsia="Times New Roman" w:hAnsi="Helvetica" w:cs="Helvetica"/>
          <w:bCs/>
          <w:color w:val="333333"/>
          <w:sz w:val="28"/>
          <w:szCs w:val="28"/>
        </w:rPr>
        <w:br w:type="page"/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Тема урока:</w:t>
      </w:r>
      <w:r w:rsidRPr="002E7168">
        <w:rPr>
          <w:rFonts w:ascii="Helvetica" w:eastAsia="Times New Roman" w:hAnsi="Helvetica" w:cs="Helvetica"/>
          <w:color w:val="333333"/>
          <w:sz w:val="21"/>
        </w:rPr>
        <w:t> </w:t>
      </w: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Совершенствование техники ранее изученного материала по баскетболу игровым методом.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Цель урока:</w:t>
      </w:r>
      <w:r w:rsidRPr="002E7168">
        <w:rPr>
          <w:rFonts w:ascii="Helvetica" w:eastAsia="Times New Roman" w:hAnsi="Helvetica" w:cs="Helvetica"/>
          <w:color w:val="333333"/>
          <w:sz w:val="21"/>
        </w:rPr>
        <w:t> </w:t>
      </w: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повторить и закрепить ранее изученный материал по баскетболу.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Задачи урока: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1. Совершенствование техники владения, ведения мяча и броска в кольцо.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2. Формирование правильной осанки, развитие различных групп мышц.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3. Воспитание дисциплинированности, коллективизма, чувства товарищества.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Место проведения:</w:t>
      </w:r>
      <w:r w:rsidRPr="002E7168">
        <w:rPr>
          <w:rFonts w:ascii="Helvetica" w:eastAsia="Times New Roman" w:hAnsi="Helvetica" w:cs="Helvetica"/>
          <w:color w:val="333333"/>
          <w:sz w:val="21"/>
        </w:rPr>
        <w:t> </w:t>
      </w: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спортивный зал.</w:t>
      </w: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7168" w:rsidRPr="002E7168" w:rsidRDefault="002E7168" w:rsidP="002E716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7168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Оборудование и инвентарь:</w:t>
      </w:r>
      <w:r w:rsidRPr="002E7168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2E7168">
        <w:rPr>
          <w:rFonts w:ascii="Helvetica" w:eastAsia="Times New Roman" w:hAnsi="Helvetica" w:cs="Helvetica"/>
          <w:color w:val="333333"/>
          <w:sz w:val="21"/>
          <w:szCs w:val="21"/>
        </w:rPr>
        <w:t>мяч баскетбольный, обруч (6 шт.).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9"/>
        <w:gridCol w:w="3116"/>
        <w:gridCol w:w="944"/>
        <w:gridCol w:w="4532"/>
      </w:tblGrid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Части урока</w:t>
            </w: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Содержание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Время</w:t>
            </w:r>
          </w:p>
        </w:tc>
        <w:tc>
          <w:tcPr>
            <w:tcW w:w="24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Организационно-методические указания</w:t>
            </w: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</w:t>
            </w: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Подготовительная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 мин.</w:t>
            </w:r>
          </w:p>
        </w:tc>
        <w:tc>
          <w:tcPr>
            <w:tcW w:w="2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Построение в одну шеренгу, проверка наличия спортивной формы, количественного состава группы.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Построение в колонну по одному. Следить за правильной осанкой, положением рук и постановкой ног.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Группа передвигается в колонну по одному. Следить за правильной постановкой стоп при выполнении задания.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Построение в одну шеренгу по периметру зала. Форма организации – фронтальная, способ выполнения - одновременный. Преподаватель располагается в центре зала. Обратить внимание на интервал – руки в стороны, на осанку при выполнении упражнения. Следить за положением рук.</w:t>
            </w: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Построение, приветствие, сообщение задач урока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Ходьба: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на носках;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на внешнем своде стопы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перекатом с пятки на носок.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Бег: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равномерный;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спиной вперед;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приставными шагами левым и правым боком;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Общеразвивающие упражнения (ОРУ) на месте: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 И.п. – стойка ноги врозь, руки на пояс. 1 – наклон головы влево; 2 – то же вправо; 3 – то же вперед; 4 – то же назад.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 И.п. – стойка ноги врозь, руки на пояс. 1-4 – вращение головой в левую сторону; 5-8 – то же в правую сторону.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 И.п. – стойка ноги врозь, руки на пояс.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 – руки к плечам; 2 – руки вверх, встать на носки; 3 – руки к плечам; 4 – и. п.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4) И.п. – стойка ноги врозь, руки в стороны. 1 – сжать пальцы в кулак; 2 – разжать; 3 - сжать пальцы в кулак; 4 – разжать.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5) И.п. – стойка ноги врозь, руки в стороны. 1-4 – вращение кистями вперед; 5-8 – то же назад.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6) И.п. – стойка ноги врозь, руки в стороны. 1-4 – вращение предплечьями вперед; 5-8 – то же назад.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7) И.п. – стойка ноги врозь, руки к плечам. 1-4 – вращение плечами вперед; 5-8 – то же назад.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8) И.п. – левая рука вверху, правая внизу. 1-4 - рывки руками назад со сменой положения рук.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9) И.п. – стойка ноги врозь, руки на пояс.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1-2 – два наклона туловища влево, правая рука над головой; 3-4 – то же вправо, левая рука над головой.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10) И.п. – стойка ноги врозь, руки на пояс.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– наклон туловища к левой ноге; 2 – то же в середину; 3 – то же к правой ноге; 4 – и. п.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II</w:t>
            </w: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Основная.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 мин.</w:t>
            </w:r>
          </w:p>
        </w:tc>
        <w:tc>
          <w:tcPr>
            <w:tcW w:w="2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Из колонны по одному группа перестроить в колонну по три с интервалом 2 м. Форма организации – поочередная, способ выполнения – одновременно несколькими обучающимися. </w:t>
            </w:r>
            <w:proofErr w:type="gramStart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Обучающиеся</w:t>
            </w:r>
            <w:proofErr w:type="gramEnd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первой шеренге начинают упражнение по свистку преподавателя. После выполнения упражнения обучающиеся строятся в колонну по три на другой стороне зала. Следить за правильной постановкой стоп при выполнении беговых упражнений, положением рук.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Форма организации – поочередная, способ выполнения – одновременно несколькими обучающимися. Напомнить технику ведения мяча. Обратить внимание на постановку стоп при выполнении баскетбольных </w:t>
            </w: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передвижений.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Обучающиеся обегают стойку и возвращаются на исходную позицию, мяч передают из рук в руки.</w:t>
            </w:r>
            <w:proofErr w:type="gramEnd"/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ИТП примерно должен быть 150 ударов в минуту.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Форма организации – игровая. Упражнение выполняют на дистанции 20 м туда и обратно, обегая стойку. Обеспечить музыкальное сопровождение эстафет.</w:t>
            </w: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Беговые и прыжковые упражнения: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бег с высоким подниманием бедра;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бег с захлестыванием голени;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приставными шагами левым и правым боком;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спиной вперед;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прыжки на левой и правой ноге;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- стартовый разгон из </w:t>
            </w: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положения прыжки на месте на двух ногах.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Специальные баскетбольные упражнения: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ведение мяча правой и левой рукой по прямой шагом;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- ведение мяча правой и левой рукой </w:t>
            </w:r>
            <w:proofErr w:type="gramStart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</w:t>
            </w:r>
            <w:proofErr w:type="gramEnd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прямой бегом;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 ведение с изменением направления движения.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3. Измерение индивидуального тренировочного пульса (ИТП)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4. Эстафеты: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1) придумать название и девиз своей команды;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2) принеси обувь своего товарища;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3) бег с двумя мячами – класть по мячу в каждый обруч – обежать стойку – собрать мячи из обручей;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4) ведение мяча </w:t>
            </w:r>
            <w:proofErr w:type="gramStart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</w:t>
            </w:r>
            <w:proofErr w:type="gramEnd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прямой правой рукой до стойки – обратно левой рукой;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5) ведение мяча с изменением направления между обручей;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6) ведение мяча обручем;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7) прыжки на двух ногах с мячом между ног – обратно гладким бегом;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8) бросок мяча в кольцо командой по очереди за 30 сек</w:t>
            </w:r>
            <w:proofErr w:type="gramStart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.(</w:t>
            </w:r>
            <w:proofErr w:type="gramEnd"/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подсчитывается количество попаданий).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III</w:t>
            </w: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Заключительная.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 мин.</w:t>
            </w:r>
          </w:p>
        </w:tc>
        <w:tc>
          <w:tcPr>
            <w:tcW w:w="24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Победители пробегают один круг под аплодисменты участников эстафет.</w:t>
            </w:r>
          </w:p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Построение в одну шеренгу. Домашнее задание: повторить правила игры в баскетбол. Поворот направо, выход из зала.</w:t>
            </w: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 Награждение победителей эстафет.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2E7168" w:rsidRPr="002E7168" w:rsidTr="002E7168">
        <w:tc>
          <w:tcPr>
            <w:tcW w:w="4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6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 Построение, подведение итогов урока.</w:t>
            </w:r>
          </w:p>
        </w:tc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2E7168" w:rsidRPr="002E7168" w:rsidRDefault="002E7168" w:rsidP="002E716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2E716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 мин.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2E7168" w:rsidRPr="002E7168" w:rsidRDefault="002E7168" w:rsidP="002E71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077A66" w:rsidRDefault="00077A66"/>
    <w:sectPr w:rsidR="00077A66" w:rsidSect="0007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68"/>
    <w:rsid w:val="00077A66"/>
    <w:rsid w:val="002E7168"/>
    <w:rsid w:val="009F2D89"/>
    <w:rsid w:val="00D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Admin1</cp:lastModifiedBy>
  <cp:revision>2</cp:revision>
  <dcterms:created xsi:type="dcterms:W3CDTF">2017-10-09T11:46:00Z</dcterms:created>
  <dcterms:modified xsi:type="dcterms:W3CDTF">2017-10-09T11:46:00Z</dcterms:modified>
</cp:coreProperties>
</file>